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8920D" w14:textId="09CFA8CD" w:rsidR="00054047" w:rsidRDefault="00054047" w:rsidP="00054047">
      <w:pPr>
        <w:bidi/>
        <w:jc w:val="center"/>
        <w:rPr>
          <w:rFonts w:cs="Arial"/>
          <w:b/>
          <w:bCs/>
          <w:sz w:val="28"/>
          <w:szCs w:val="28"/>
          <w:rtl/>
        </w:rPr>
      </w:pPr>
      <w:bookmarkStart w:id="0" w:name="_GoBack"/>
      <w:bookmarkEnd w:id="0"/>
      <w:r>
        <w:rPr>
          <w:b/>
          <w:bCs/>
          <w:noProof/>
          <w:lang w:val="de-DE" w:eastAsia="de-DE"/>
        </w:rPr>
        <w:drawing>
          <wp:anchor distT="0" distB="0" distL="114300" distR="114300" simplePos="0" relativeHeight="251659264" behindDoc="0" locked="0" layoutInCell="1" allowOverlap="1" wp14:anchorId="7E8B79CA" wp14:editId="39EAF766">
            <wp:simplePos x="0" y="0"/>
            <wp:positionH relativeFrom="margin">
              <wp:posOffset>2197100</wp:posOffset>
            </wp:positionH>
            <wp:positionV relativeFrom="margin">
              <wp:posOffset>-425450</wp:posOffset>
            </wp:positionV>
            <wp:extent cx="1181100" cy="763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 updated aug2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763905"/>
                    </a:xfrm>
                    <a:prstGeom prst="rect">
                      <a:avLst/>
                    </a:prstGeom>
                  </pic:spPr>
                </pic:pic>
              </a:graphicData>
            </a:graphic>
            <wp14:sizeRelH relativeFrom="page">
              <wp14:pctWidth>0</wp14:pctWidth>
            </wp14:sizeRelH>
            <wp14:sizeRelV relativeFrom="page">
              <wp14:pctHeight>0</wp14:pctHeight>
            </wp14:sizeRelV>
          </wp:anchor>
        </w:drawing>
      </w:r>
    </w:p>
    <w:p w14:paraId="26A74111" w14:textId="77777777" w:rsidR="00054047" w:rsidRDefault="00054047" w:rsidP="00054047">
      <w:pPr>
        <w:bidi/>
        <w:jc w:val="center"/>
        <w:rPr>
          <w:rFonts w:cs="Arial"/>
          <w:b/>
          <w:bCs/>
          <w:sz w:val="28"/>
          <w:szCs w:val="28"/>
          <w:rtl/>
        </w:rPr>
      </w:pPr>
    </w:p>
    <w:p w14:paraId="4A678E2B" w14:textId="4D67EACB" w:rsidR="004F5DD4" w:rsidRPr="00E0169B" w:rsidRDefault="004F5DD4" w:rsidP="00054047">
      <w:pPr>
        <w:bidi/>
        <w:jc w:val="center"/>
        <w:rPr>
          <w:rFonts w:cs="Arial"/>
          <w:b/>
          <w:bCs/>
          <w:color w:val="800000"/>
          <w:sz w:val="28"/>
          <w:szCs w:val="28"/>
          <w:rtl/>
        </w:rPr>
      </w:pPr>
      <w:r w:rsidRPr="00E0169B">
        <w:rPr>
          <w:rFonts w:cs="Arial"/>
          <w:b/>
          <w:bCs/>
          <w:color w:val="800000"/>
          <w:sz w:val="28"/>
          <w:szCs w:val="28"/>
          <w:rtl/>
        </w:rPr>
        <w:t xml:space="preserve">تشجير المراعي </w:t>
      </w:r>
      <w:r w:rsidR="00595808" w:rsidRPr="00E0169B">
        <w:rPr>
          <w:rFonts w:cs="Arial" w:hint="cs"/>
          <w:b/>
          <w:bCs/>
          <w:color w:val="800000"/>
          <w:sz w:val="28"/>
          <w:szCs w:val="28"/>
          <w:rtl/>
        </w:rPr>
        <w:t>لا تعتبر</w:t>
      </w:r>
      <w:r w:rsidRPr="00E0169B">
        <w:rPr>
          <w:rFonts w:cs="Arial"/>
          <w:b/>
          <w:bCs/>
          <w:color w:val="800000"/>
          <w:sz w:val="28"/>
          <w:szCs w:val="28"/>
          <w:rtl/>
        </w:rPr>
        <w:t xml:space="preserve"> إستراتيجية </w:t>
      </w:r>
      <w:r w:rsidR="00054047" w:rsidRPr="00E0169B">
        <w:rPr>
          <w:rFonts w:cs="Arial" w:hint="cs"/>
          <w:b/>
          <w:bCs/>
          <w:color w:val="800000"/>
          <w:sz w:val="28"/>
          <w:szCs w:val="28"/>
          <w:rtl/>
        </w:rPr>
        <w:t>فعالة لل</w:t>
      </w:r>
      <w:r w:rsidRPr="00E0169B">
        <w:rPr>
          <w:rFonts w:cs="Arial"/>
          <w:b/>
          <w:bCs/>
          <w:color w:val="800000"/>
          <w:sz w:val="28"/>
          <w:szCs w:val="28"/>
          <w:rtl/>
        </w:rPr>
        <w:t>تخفيف من آثار تغير</w:t>
      </w:r>
      <w:r w:rsidR="00595808" w:rsidRPr="00E0169B">
        <w:rPr>
          <w:rFonts w:cs="Arial" w:hint="cs"/>
          <w:b/>
          <w:bCs/>
          <w:color w:val="800000"/>
          <w:sz w:val="28"/>
          <w:szCs w:val="28"/>
          <w:rtl/>
        </w:rPr>
        <w:t>ات</w:t>
      </w:r>
      <w:r w:rsidRPr="00E0169B">
        <w:rPr>
          <w:rFonts w:cs="Arial"/>
          <w:b/>
          <w:bCs/>
          <w:color w:val="800000"/>
          <w:sz w:val="28"/>
          <w:szCs w:val="28"/>
          <w:rtl/>
        </w:rPr>
        <w:t xml:space="preserve"> المناخ</w:t>
      </w:r>
    </w:p>
    <w:p w14:paraId="20DFE31E" w14:textId="77777777" w:rsidR="00E0169B" w:rsidRPr="00E0169B" w:rsidRDefault="00E0169B" w:rsidP="00E0169B">
      <w:pPr>
        <w:bidi/>
        <w:jc w:val="center"/>
        <w:rPr>
          <w:rFonts w:cs="Arial"/>
          <w:b/>
          <w:bCs/>
          <w:rtl/>
        </w:rPr>
      </w:pPr>
      <w:r w:rsidRPr="00E0169B">
        <w:rPr>
          <w:rFonts w:cs="Arial"/>
          <w:b/>
          <w:bCs/>
          <w:rtl/>
        </w:rPr>
        <w:t>مساهمة في المشاورات العامة لمجلس نزاهـة أسـواق الكربـون الطوعيـة</w:t>
      </w:r>
      <w:r w:rsidRPr="00E0169B">
        <w:rPr>
          <w:rFonts w:cs="Arial" w:hint="cs"/>
          <w:b/>
          <w:bCs/>
          <w:rtl/>
        </w:rPr>
        <w:t xml:space="preserve"> (</w:t>
      </w:r>
      <w:r w:rsidRPr="00E0169B">
        <w:rPr>
          <w:rFonts w:cs="Arial"/>
          <w:b/>
          <w:bCs/>
        </w:rPr>
        <w:t xml:space="preserve"> (IC-VCM</w:t>
      </w:r>
    </w:p>
    <w:p w14:paraId="01C5F3E6" w14:textId="77777777" w:rsidR="004F5DD4" w:rsidRPr="00054047" w:rsidRDefault="004F5DD4" w:rsidP="00E0169B">
      <w:pPr>
        <w:bidi/>
        <w:jc w:val="both"/>
        <w:rPr>
          <w:rFonts w:cstheme="minorHAnsi"/>
          <w:sz w:val="24"/>
          <w:szCs w:val="24"/>
          <w:rtl/>
        </w:rPr>
      </w:pPr>
    </w:p>
    <w:p w14:paraId="4D4BA3E0" w14:textId="5ADBCA04" w:rsidR="00595808" w:rsidRPr="00054047" w:rsidRDefault="00595808" w:rsidP="00FF62A7">
      <w:pPr>
        <w:bidi/>
        <w:jc w:val="both"/>
        <w:rPr>
          <w:rFonts w:cstheme="minorHAnsi"/>
          <w:sz w:val="24"/>
          <w:szCs w:val="24"/>
          <w:rtl/>
        </w:rPr>
      </w:pPr>
      <w:r w:rsidRPr="00054047">
        <w:rPr>
          <w:rFonts w:cstheme="minorHAnsi"/>
          <w:sz w:val="24"/>
          <w:szCs w:val="24"/>
          <w:rtl/>
        </w:rPr>
        <w:t>تتطلع</w:t>
      </w:r>
      <w:r w:rsidR="004F5DD4" w:rsidRPr="00054047">
        <w:rPr>
          <w:rFonts w:cstheme="minorHAnsi"/>
          <w:sz w:val="24"/>
          <w:szCs w:val="24"/>
          <w:rtl/>
        </w:rPr>
        <w:t xml:space="preserve"> أسواق الكربون ، سواء كانت طوعية أم لا، بشكل متزايد </w:t>
      </w:r>
      <w:r w:rsidR="00017D19" w:rsidRPr="00054047">
        <w:rPr>
          <w:rFonts w:cstheme="minorHAnsi"/>
          <w:sz w:val="24"/>
          <w:szCs w:val="24"/>
          <w:rtl/>
        </w:rPr>
        <w:t xml:space="preserve">إلى التشجير </w:t>
      </w:r>
      <w:r w:rsidR="004F5DD4" w:rsidRPr="00054047">
        <w:rPr>
          <w:rFonts w:cstheme="minorHAnsi"/>
          <w:sz w:val="24"/>
          <w:szCs w:val="24"/>
          <w:rtl/>
        </w:rPr>
        <w:t>وإعادة الت</w:t>
      </w:r>
      <w:r w:rsidR="00017D19" w:rsidRPr="00054047">
        <w:rPr>
          <w:rFonts w:cstheme="minorHAnsi"/>
          <w:sz w:val="24"/>
          <w:szCs w:val="24"/>
          <w:rtl/>
        </w:rPr>
        <w:t>شجير</w:t>
      </w:r>
      <w:r w:rsidR="004F5DD4" w:rsidRPr="00054047">
        <w:rPr>
          <w:rFonts w:cstheme="minorHAnsi"/>
          <w:sz w:val="24"/>
          <w:szCs w:val="24"/>
          <w:rtl/>
        </w:rPr>
        <w:t xml:space="preserve"> من أجل </w:t>
      </w:r>
      <w:r w:rsidR="00017D19" w:rsidRPr="00054047">
        <w:rPr>
          <w:rFonts w:cstheme="minorHAnsi"/>
          <w:sz w:val="24"/>
          <w:szCs w:val="24"/>
          <w:rtl/>
        </w:rPr>
        <w:t>زيادة عزل</w:t>
      </w:r>
      <w:r w:rsidR="004F5DD4" w:rsidRPr="00054047">
        <w:rPr>
          <w:rFonts w:cstheme="minorHAnsi"/>
          <w:sz w:val="24"/>
          <w:szCs w:val="24"/>
          <w:rtl/>
        </w:rPr>
        <w:t xml:space="preserve"> الكربون الأخضر. أظهرت عقود من الخبرة في زراعة الأشجار كيفية القيام بذلك بشكل صحيح </w:t>
      </w:r>
      <w:r w:rsidR="00017D19" w:rsidRPr="00054047">
        <w:rPr>
          <w:rFonts w:cstheme="minorHAnsi"/>
          <w:sz w:val="24"/>
          <w:szCs w:val="24"/>
          <w:rtl/>
        </w:rPr>
        <w:t>–</w:t>
      </w:r>
      <w:r w:rsidR="004F5DD4" w:rsidRPr="00054047">
        <w:rPr>
          <w:rFonts w:cstheme="minorHAnsi"/>
          <w:sz w:val="24"/>
          <w:szCs w:val="24"/>
          <w:rtl/>
        </w:rPr>
        <w:t xml:space="preserve"> و</w:t>
      </w:r>
      <w:r w:rsidR="00017D19" w:rsidRPr="00054047">
        <w:rPr>
          <w:rFonts w:cstheme="minorHAnsi"/>
          <w:sz w:val="24"/>
          <w:szCs w:val="24"/>
          <w:rtl/>
        </w:rPr>
        <w:t>حددت متى</w:t>
      </w:r>
      <w:r w:rsidR="004F5DD4" w:rsidRPr="00054047">
        <w:rPr>
          <w:rFonts w:cstheme="minorHAnsi"/>
          <w:sz w:val="24"/>
          <w:szCs w:val="24"/>
          <w:rtl/>
        </w:rPr>
        <w:t xml:space="preserve"> يمكن أن تسبب زراعة الأشجار ضرر</w:t>
      </w:r>
      <w:r w:rsidR="00054047">
        <w:rPr>
          <w:rFonts w:cstheme="minorHAnsi" w:hint="cs"/>
          <w:sz w:val="24"/>
          <w:szCs w:val="24"/>
          <w:rtl/>
        </w:rPr>
        <w:t xml:space="preserve">اً </w:t>
      </w:r>
      <w:r w:rsidR="004F5DD4" w:rsidRPr="00054047">
        <w:rPr>
          <w:rFonts w:cstheme="minorHAnsi"/>
          <w:sz w:val="24"/>
          <w:szCs w:val="24"/>
          <w:rtl/>
        </w:rPr>
        <w:t xml:space="preserve"> أكبر من الفائدة. تبدو الأراضي العشبية والسافانا والأنظمة البيئية الأخرى للمراعي "مفتوحة" و "عارية" - لكن هذا لا يعني أنها لا قيمة لها. على العكس من ذلك ، فهي تتمتع بقيمة جوهرية هائلة و</w:t>
      </w:r>
      <w:r w:rsidR="00017D19" w:rsidRPr="00054047">
        <w:rPr>
          <w:rFonts w:cstheme="minorHAnsi"/>
          <w:sz w:val="24"/>
          <w:szCs w:val="24"/>
          <w:rtl/>
        </w:rPr>
        <w:t xml:space="preserve">بالتأكيد </w:t>
      </w:r>
      <w:r w:rsidR="004F5DD4" w:rsidRPr="00054047">
        <w:rPr>
          <w:rFonts w:cstheme="minorHAnsi"/>
          <w:sz w:val="24"/>
          <w:szCs w:val="24"/>
          <w:rtl/>
        </w:rPr>
        <w:t>ليست مناسبة للتشجير</w:t>
      </w:r>
      <w:r w:rsidR="00017D19" w:rsidRPr="00054047">
        <w:rPr>
          <w:rFonts w:cstheme="minorHAnsi"/>
          <w:sz w:val="24"/>
          <w:szCs w:val="24"/>
          <w:rtl/>
        </w:rPr>
        <w:t>و زراعة الأشجار.</w:t>
      </w:r>
    </w:p>
    <w:p w14:paraId="5A11E3BE" w14:textId="0D3020F7" w:rsidR="00017D19" w:rsidRPr="00E0169B" w:rsidRDefault="00E0169B" w:rsidP="00FF62A7">
      <w:pPr>
        <w:bidi/>
        <w:jc w:val="both"/>
        <w:rPr>
          <w:rFonts w:cs="Arial"/>
          <w:rtl/>
        </w:rPr>
      </w:pPr>
      <w:r w:rsidRPr="00DB4909">
        <w:rPr>
          <w:rFonts w:cs="Arial"/>
          <w:rtl/>
        </w:rPr>
        <w:t>وفقًا لل</w:t>
      </w:r>
      <w:r>
        <w:rPr>
          <w:rFonts w:cs="Arial" w:hint="cs"/>
          <w:rtl/>
        </w:rPr>
        <w:t>إرشادات</w:t>
      </w:r>
      <w:r w:rsidRPr="00DB4909">
        <w:rPr>
          <w:rFonts w:cs="Arial"/>
          <w:rtl/>
        </w:rPr>
        <w:t xml:space="preserve"> التوجيهية للهيئة الحكومية الدولية المعنية بتغير المناخ (</w:t>
      </w:r>
      <w:r w:rsidRPr="00DB4909">
        <w:rPr>
          <w:rFonts w:cs="Arial"/>
        </w:rPr>
        <w:t>IPCC</w:t>
      </w:r>
      <w:r w:rsidRPr="00DB4909">
        <w:rPr>
          <w:rFonts w:cs="Arial"/>
          <w:rtl/>
        </w:rPr>
        <w:t>) ، يُعرَّف التحريج بأنه "غرس غابات جديدة على أراضٍ لم تكن ، تاريخي</w:t>
      </w:r>
      <w:r w:rsidR="00FF62A7">
        <w:rPr>
          <w:rFonts w:cs="Arial" w:hint="cs"/>
          <w:rtl/>
        </w:rPr>
        <w:t>اً</w:t>
      </w:r>
      <w:r w:rsidRPr="00DB4909">
        <w:rPr>
          <w:rFonts w:cs="Arial"/>
          <w:rtl/>
        </w:rPr>
        <w:t xml:space="preserve"> ، تحتوي على غابات" [1].</w:t>
      </w:r>
      <w:r>
        <w:rPr>
          <w:rFonts w:cs="Arial" w:hint="cs"/>
          <w:rtl/>
        </w:rPr>
        <w:t xml:space="preserve"> </w:t>
      </w:r>
      <w:r w:rsidR="00B81636" w:rsidRPr="00054047">
        <w:rPr>
          <w:rFonts w:cstheme="minorHAnsi"/>
          <w:sz w:val="24"/>
          <w:szCs w:val="24"/>
          <w:rtl/>
        </w:rPr>
        <w:t>إن الغالبية العظمى من المراعي المستهدفة لغرس الأشجار لم تكن غابات من قبل. تشكل زراعة مساحات كبيرة من هذه الأراضي بالأشجار في هذه الأنظمة تشجيراً، وهي ليست عملية بيئية طبيعية، على عكس إعادة التشجير أو استعادة الغابات [</w:t>
      </w:r>
      <w:r>
        <w:rPr>
          <w:rFonts w:cstheme="minorHAnsi" w:hint="cs"/>
          <w:sz w:val="24"/>
          <w:szCs w:val="24"/>
          <w:rtl/>
        </w:rPr>
        <w:t>2</w:t>
      </w:r>
      <w:r w:rsidR="00B81636" w:rsidRPr="00054047">
        <w:rPr>
          <w:rFonts w:cstheme="minorHAnsi"/>
          <w:sz w:val="24"/>
          <w:szCs w:val="24"/>
          <w:rtl/>
        </w:rPr>
        <w:t xml:space="preserve">]. إن ما يقرب من 40٪ من مساحة الأرض في العالم </w:t>
      </w:r>
      <w:r>
        <w:rPr>
          <w:rFonts w:cstheme="minorHAnsi" w:hint="cs"/>
          <w:sz w:val="24"/>
          <w:szCs w:val="24"/>
          <w:rtl/>
        </w:rPr>
        <w:t xml:space="preserve">التي تم اعتبارها </w:t>
      </w:r>
      <w:r w:rsidR="00B81636" w:rsidRPr="00054047">
        <w:rPr>
          <w:rFonts w:cstheme="minorHAnsi"/>
          <w:sz w:val="24"/>
          <w:szCs w:val="24"/>
          <w:rtl/>
        </w:rPr>
        <w:t xml:space="preserve"> </w:t>
      </w:r>
      <w:r>
        <w:rPr>
          <w:rFonts w:cstheme="minorHAnsi" w:hint="cs"/>
          <w:sz w:val="24"/>
          <w:szCs w:val="24"/>
          <w:rtl/>
        </w:rPr>
        <w:t>م</w:t>
      </w:r>
      <w:r w:rsidR="00B81636" w:rsidRPr="00054047">
        <w:rPr>
          <w:rFonts w:cstheme="minorHAnsi"/>
          <w:sz w:val="24"/>
          <w:szCs w:val="24"/>
          <w:rtl/>
        </w:rPr>
        <w:t>ناسبة ل</w:t>
      </w:r>
      <w:r>
        <w:rPr>
          <w:rFonts w:cstheme="minorHAnsi" w:hint="cs"/>
          <w:sz w:val="24"/>
          <w:szCs w:val="24"/>
          <w:rtl/>
        </w:rPr>
        <w:t>استهدافها ل</w:t>
      </w:r>
      <w:r w:rsidR="00B81636" w:rsidRPr="00054047">
        <w:rPr>
          <w:rFonts w:cstheme="minorHAnsi"/>
          <w:sz w:val="24"/>
          <w:szCs w:val="24"/>
          <w:rtl/>
        </w:rPr>
        <w:t xml:space="preserve">زراعة الأشجار </w:t>
      </w:r>
      <w:r>
        <w:rPr>
          <w:rFonts w:cstheme="minorHAnsi" w:hint="cs"/>
          <w:sz w:val="24"/>
          <w:szCs w:val="24"/>
          <w:rtl/>
        </w:rPr>
        <w:t xml:space="preserve">هي </w:t>
      </w:r>
      <w:r w:rsidR="00B81636" w:rsidRPr="00054047">
        <w:rPr>
          <w:rFonts w:cstheme="minorHAnsi"/>
          <w:sz w:val="24"/>
          <w:szCs w:val="24"/>
          <w:rtl/>
        </w:rPr>
        <w:t>غير قادرة على توفير المياه الكافية لنمو هذه الأشجار من هطول الأمطار وحده [</w:t>
      </w:r>
      <w:r>
        <w:rPr>
          <w:rFonts w:cstheme="minorHAnsi" w:hint="cs"/>
          <w:sz w:val="24"/>
          <w:szCs w:val="24"/>
          <w:rtl/>
        </w:rPr>
        <w:t>3</w:t>
      </w:r>
      <w:r w:rsidR="00B81636" w:rsidRPr="00054047">
        <w:rPr>
          <w:rFonts w:cstheme="minorHAnsi"/>
          <w:sz w:val="24"/>
          <w:szCs w:val="24"/>
          <w:rtl/>
        </w:rPr>
        <w:t>]. لذلك فقد أدى غرس الأشجار في هذه المناطق إلى فشل في الزراعة على نطاقٍ واسع واستثمارات غير فعالة في الموارد</w:t>
      </w:r>
      <w:r w:rsidR="00054047" w:rsidRPr="00054047">
        <w:rPr>
          <w:rFonts w:cstheme="minorHAnsi"/>
          <w:sz w:val="24"/>
          <w:szCs w:val="24"/>
        </w:rPr>
        <w:t>.</w:t>
      </w:r>
      <w:r w:rsidR="00B81636" w:rsidRPr="00054047">
        <w:rPr>
          <w:rFonts w:cstheme="minorHAnsi"/>
          <w:sz w:val="24"/>
          <w:szCs w:val="24"/>
        </w:rPr>
        <w:t xml:space="preserve"> [</w:t>
      </w:r>
      <w:r>
        <w:rPr>
          <w:rFonts w:cstheme="minorHAnsi"/>
          <w:sz w:val="24"/>
          <w:szCs w:val="24"/>
        </w:rPr>
        <w:t>4</w:t>
      </w:r>
      <w:r w:rsidR="00B81636" w:rsidRPr="00054047">
        <w:rPr>
          <w:rFonts w:cstheme="minorHAnsi"/>
          <w:sz w:val="24"/>
          <w:szCs w:val="24"/>
        </w:rPr>
        <w:t>]</w:t>
      </w:r>
    </w:p>
    <w:p w14:paraId="31065AE5" w14:textId="77777777" w:rsidR="00E0169B" w:rsidRDefault="00B81636" w:rsidP="00FF62A7">
      <w:pPr>
        <w:bidi/>
        <w:jc w:val="both"/>
        <w:rPr>
          <w:rFonts w:cs="Calibri"/>
          <w:sz w:val="24"/>
          <w:szCs w:val="24"/>
        </w:rPr>
      </w:pPr>
      <w:r w:rsidRPr="00054047">
        <w:rPr>
          <w:rFonts w:cstheme="minorHAnsi"/>
          <w:sz w:val="24"/>
          <w:szCs w:val="24"/>
          <w:rtl/>
        </w:rPr>
        <w:t xml:space="preserve">تحتاج </w:t>
      </w:r>
      <w:r w:rsidR="00CD4D3E" w:rsidRPr="00054047">
        <w:rPr>
          <w:rFonts w:cstheme="minorHAnsi"/>
          <w:sz w:val="24"/>
          <w:szCs w:val="24"/>
          <w:rtl/>
        </w:rPr>
        <w:t xml:space="preserve">القواعد الارشادية </w:t>
      </w:r>
      <w:r w:rsidRPr="00054047">
        <w:rPr>
          <w:rFonts w:cstheme="minorHAnsi"/>
          <w:sz w:val="24"/>
          <w:szCs w:val="24"/>
          <w:rtl/>
        </w:rPr>
        <w:t xml:space="preserve">للاستثمار </w:t>
      </w:r>
      <w:r w:rsidR="00CD4D3E" w:rsidRPr="00054047">
        <w:rPr>
          <w:rFonts w:cstheme="minorHAnsi"/>
          <w:sz w:val="24"/>
          <w:szCs w:val="24"/>
          <w:rtl/>
        </w:rPr>
        <w:t xml:space="preserve">في </w:t>
      </w:r>
      <w:r w:rsidRPr="00054047">
        <w:rPr>
          <w:rFonts w:cstheme="minorHAnsi"/>
          <w:sz w:val="24"/>
          <w:szCs w:val="24"/>
          <w:rtl/>
        </w:rPr>
        <w:t xml:space="preserve">سوق الكربون الطوعي إلى التعرف على المراعي </w:t>
      </w:r>
      <w:r w:rsidR="00CD4D3E" w:rsidRPr="00054047">
        <w:rPr>
          <w:rFonts w:cstheme="minorHAnsi"/>
          <w:sz w:val="24"/>
          <w:szCs w:val="24"/>
          <w:rtl/>
        </w:rPr>
        <w:t>(</w:t>
      </w:r>
      <w:r w:rsidRPr="00054047">
        <w:rPr>
          <w:rFonts w:cstheme="minorHAnsi"/>
          <w:sz w:val="24"/>
          <w:szCs w:val="24"/>
          <w:rtl/>
        </w:rPr>
        <w:t>الأراضي العشبية، والشجيرات، والسهوب، والسافانا، والأراضي الشجرية ، والنظم الإيكولوجية للأراضي الحر</w:t>
      </w:r>
      <w:r w:rsidR="00CD4D3E" w:rsidRPr="00054047">
        <w:rPr>
          <w:rFonts w:cstheme="minorHAnsi"/>
          <w:sz w:val="24"/>
          <w:szCs w:val="24"/>
          <w:rtl/>
        </w:rPr>
        <w:t>ا</w:t>
      </w:r>
      <w:r w:rsidRPr="00054047">
        <w:rPr>
          <w:rFonts w:cstheme="minorHAnsi"/>
          <w:sz w:val="24"/>
          <w:szCs w:val="24"/>
          <w:rtl/>
        </w:rPr>
        <w:t>جية التي تغطي ما يقرب من نصف مساحة اليابسة على الأرض</w:t>
      </w:r>
      <w:r w:rsidR="00CD4D3E" w:rsidRPr="00054047">
        <w:rPr>
          <w:rFonts w:cstheme="minorHAnsi"/>
          <w:sz w:val="24"/>
          <w:szCs w:val="24"/>
          <w:rtl/>
        </w:rPr>
        <w:t>)</w:t>
      </w:r>
      <w:r w:rsidRPr="00054047">
        <w:rPr>
          <w:rFonts w:cstheme="minorHAnsi"/>
          <w:sz w:val="24"/>
          <w:szCs w:val="24"/>
          <w:rtl/>
        </w:rPr>
        <w:t xml:space="preserve"> </w:t>
      </w:r>
      <w:r w:rsidR="00CD4D3E" w:rsidRPr="00054047">
        <w:rPr>
          <w:rFonts w:cstheme="minorHAnsi"/>
          <w:sz w:val="24"/>
          <w:szCs w:val="24"/>
          <w:rtl/>
        </w:rPr>
        <w:t xml:space="preserve">من أجل تحديد </w:t>
      </w:r>
      <w:r w:rsidRPr="00054047">
        <w:rPr>
          <w:rFonts w:cstheme="minorHAnsi"/>
          <w:sz w:val="24"/>
          <w:szCs w:val="24"/>
          <w:rtl/>
        </w:rPr>
        <w:t xml:space="preserve">خدمات النظم البيئية </w:t>
      </w:r>
      <w:r w:rsidR="00CD4D3E" w:rsidRPr="00054047">
        <w:rPr>
          <w:rFonts w:cstheme="minorHAnsi"/>
          <w:sz w:val="24"/>
          <w:szCs w:val="24"/>
          <w:rtl/>
        </w:rPr>
        <w:t>ذات الأهمية الكبيرة و</w:t>
      </w:r>
      <w:r w:rsidRPr="00054047">
        <w:rPr>
          <w:rFonts w:cstheme="minorHAnsi"/>
          <w:sz w:val="24"/>
          <w:szCs w:val="24"/>
          <w:rtl/>
        </w:rPr>
        <w:t xml:space="preserve">التي </w:t>
      </w:r>
      <w:r w:rsidR="00CD4D3E" w:rsidRPr="00054047">
        <w:rPr>
          <w:rFonts w:cstheme="minorHAnsi"/>
          <w:sz w:val="24"/>
          <w:szCs w:val="24"/>
          <w:rtl/>
        </w:rPr>
        <w:t xml:space="preserve">تقدم </w:t>
      </w:r>
      <w:r w:rsidRPr="00054047">
        <w:rPr>
          <w:rFonts w:cstheme="minorHAnsi"/>
          <w:sz w:val="24"/>
          <w:szCs w:val="24"/>
          <w:rtl/>
        </w:rPr>
        <w:t xml:space="preserve">على المستوى المحلي والإقليمي </w:t>
      </w:r>
      <w:r w:rsidR="00CD4D3E" w:rsidRPr="00054047">
        <w:rPr>
          <w:rFonts w:cstheme="minorHAnsi"/>
          <w:sz w:val="24"/>
          <w:szCs w:val="24"/>
          <w:rtl/>
        </w:rPr>
        <w:t>و على الصعيد العالمي</w:t>
      </w:r>
      <w:r w:rsidRPr="00054047">
        <w:rPr>
          <w:rFonts w:cstheme="minorHAnsi"/>
          <w:sz w:val="24"/>
          <w:szCs w:val="24"/>
          <w:rtl/>
        </w:rPr>
        <w:t xml:space="preserve"> [</w:t>
      </w:r>
      <w:r w:rsidR="00E0169B">
        <w:rPr>
          <w:rFonts w:cstheme="minorHAnsi"/>
          <w:sz w:val="24"/>
          <w:szCs w:val="24"/>
        </w:rPr>
        <w:t>5</w:t>
      </w:r>
      <w:r w:rsidRPr="00054047">
        <w:rPr>
          <w:rFonts w:cstheme="minorHAnsi"/>
          <w:sz w:val="24"/>
          <w:szCs w:val="24"/>
          <w:rtl/>
        </w:rPr>
        <w:t xml:space="preserve">]. على الصعيد المحلي ، توفر المراعي الغذاء والموئل للحيوانات العاشبة البرية والمحلية، وتدعم سبل العيش الرعوية </w:t>
      </w:r>
      <w:r w:rsidR="00CD4D3E" w:rsidRPr="00054047">
        <w:rPr>
          <w:rFonts w:cstheme="minorHAnsi"/>
          <w:sz w:val="24"/>
          <w:szCs w:val="24"/>
          <w:rtl/>
        </w:rPr>
        <w:t xml:space="preserve">حيث </w:t>
      </w:r>
      <w:r w:rsidRPr="00054047">
        <w:rPr>
          <w:rFonts w:cstheme="minorHAnsi"/>
          <w:sz w:val="24"/>
          <w:szCs w:val="24"/>
          <w:rtl/>
        </w:rPr>
        <w:t xml:space="preserve">تحمل قيمة ثقافية واقتصادية هائلة لمجموعات متنوعة من الناس </w:t>
      </w:r>
      <w:r w:rsidR="00E0169B" w:rsidRPr="00E0169B">
        <w:rPr>
          <w:rFonts w:cs="Calibri"/>
          <w:sz w:val="24"/>
          <w:szCs w:val="24"/>
          <w:rtl/>
        </w:rPr>
        <w:t xml:space="preserve">بما في ذلك الشعوب الأصلية والمجتمعات المحلية ( </w:t>
      </w:r>
      <w:r w:rsidR="00E0169B" w:rsidRPr="00E0169B">
        <w:rPr>
          <w:rFonts w:cstheme="minorHAnsi"/>
          <w:sz w:val="24"/>
          <w:szCs w:val="24"/>
        </w:rPr>
        <w:t>IPLCs</w:t>
      </w:r>
      <w:r w:rsidR="00E0169B" w:rsidRPr="00E0169B">
        <w:rPr>
          <w:rFonts w:cs="Calibri"/>
          <w:sz w:val="24"/>
          <w:szCs w:val="24"/>
          <w:rtl/>
        </w:rPr>
        <w:t xml:space="preserve"> )، الذين يعيشون فيها ويديرونها.</w:t>
      </w:r>
    </w:p>
    <w:p w14:paraId="1DBD45A2" w14:textId="74738343" w:rsidR="00B81636" w:rsidRPr="00054047" w:rsidRDefault="00B81636" w:rsidP="00FF62A7">
      <w:pPr>
        <w:bidi/>
        <w:jc w:val="both"/>
        <w:rPr>
          <w:rFonts w:cstheme="minorHAnsi"/>
          <w:sz w:val="24"/>
          <w:szCs w:val="24"/>
          <w:rtl/>
        </w:rPr>
      </w:pPr>
      <w:r w:rsidRPr="00054047">
        <w:rPr>
          <w:rFonts w:cstheme="minorHAnsi"/>
          <w:sz w:val="24"/>
          <w:szCs w:val="24"/>
          <w:rtl/>
        </w:rPr>
        <w:t xml:space="preserve"> تتمتع المراعي الصحية ب</w:t>
      </w:r>
      <w:r w:rsidR="00CD4D3E" w:rsidRPr="00054047">
        <w:rPr>
          <w:rFonts w:cstheme="minorHAnsi"/>
          <w:sz w:val="24"/>
          <w:szCs w:val="24"/>
          <w:rtl/>
        </w:rPr>
        <w:t xml:space="preserve">معدل تسريب مياه عالي </w:t>
      </w:r>
      <w:r w:rsidRPr="00054047">
        <w:rPr>
          <w:rFonts w:cstheme="minorHAnsi"/>
          <w:sz w:val="24"/>
          <w:szCs w:val="24"/>
          <w:rtl/>
        </w:rPr>
        <w:t xml:space="preserve"> ومعدلات </w:t>
      </w:r>
      <w:r w:rsidR="00CD4D3E" w:rsidRPr="00054047">
        <w:rPr>
          <w:rFonts w:cstheme="minorHAnsi"/>
          <w:sz w:val="24"/>
          <w:szCs w:val="24"/>
          <w:rtl/>
        </w:rPr>
        <w:t xml:space="preserve">نتح تبخري </w:t>
      </w:r>
      <w:r w:rsidRPr="00054047">
        <w:rPr>
          <w:rFonts w:cstheme="minorHAnsi"/>
          <w:sz w:val="24"/>
          <w:szCs w:val="24"/>
          <w:rtl/>
        </w:rPr>
        <w:t>منخفضة</w:t>
      </w:r>
      <w:r w:rsidR="00E0169B">
        <w:rPr>
          <w:rFonts w:cstheme="minorHAnsi" w:hint="cs"/>
          <w:sz w:val="24"/>
          <w:szCs w:val="24"/>
          <w:rtl/>
          <w:lang w:bidi="ar-JO"/>
        </w:rPr>
        <w:t xml:space="preserve"> مقارنةً مع الغابات</w:t>
      </w:r>
      <w:r w:rsidRPr="00054047">
        <w:rPr>
          <w:rFonts w:cstheme="minorHAnsi"/>
          <w:sz w:val="24"/>
          <w:szCs w:val="24"/>
          <w:rtl/>
        </w:rPr>
        <w:t xml:space="preserve">، مما يجعلها مهمة لتدفق مجاري المياه وبالتالي توفير المياه في اتجاه مجرى النهر. كما أنها تخزن الكربون </w:t>
      </w:r>
      <w:r w:rsidR="00E0169B">
        <w:rPr>
          <w:rFonts w:cstheme="minorHAnsi" w:hint="cs"/>
          <w:sz w:val="24"/>
          <w:szCs w:val="24"/>
          <w:rtl/>
        </w:rPr>
        <w:t xml:space="preserve">خاصةً في التربة </w:t>
      </w:r>
      <w:r w:rsidRPr="00054047">
        <w:rPr>
          <w:rFonts w:cstheme="minorHAnsi"/>
          <w:sz w:val="24"/>
          <w:szCs w:val="24"/>
          <w:rtl/>
        </w:rPr>
        <w:t xml:space="preserve">وتؤوي التنوع البيولوجي فوق الأرض وتحتها ، وتنظم المناخ من خلال </w:t>
      </w:r>
      <w:r w:rsidR="00B45068" w:rsidRPr="00054047">
        <w:rPr>
          <w:rFonts w:cstheme="minorHAnsi"/>
          <w:sz w:val="24"/>
          <w:szCs w:val="24"/>
          <w:rtl/>
          <w:lang w:bidi="ar-JO"/>
        </w:rPr>
        <w:t xml:space="preserve">درجة عالية من </w:t>
      </w:r>
      <w:r w:rsidRPr="00054047">
        <w:rPr>
          <w:rFonts w:cstheme="minorHAnsi"/>
          <w:sz w:val="24"/>
          <w:szCs w:val="24"/>
          <w:rtl/>
        </w:rPr>
        <w:t xml:space="preserve">البياض (كونها أفتح في اللون من الغابات ، </w:t>
      </w:r>
      <w:r w:rsidR="00CD4D3E" w:rsidRPr="00054047">
        <w:rPr>
          <w:rFonts w:cstheme="minorHAnsi"/>
          <w:sz w:val="24"/>
          <w:szCs w:val="24"/>
          <w:rtl/>
        </w:rPr>
        <w:t xml:space="preserve">وهذا يمكن </w:t>
      </w:r>
      <w:r w:rsidRPr="00054047">
        <w:rPr>
          <w:rFonts w:cstheme="minorHAnsi"/>
          <w:sz w:val="24"/>
          <w:szCs w:val="24"/>
          <w:rtl/>
        </w:rPr>
        <w:t xml:space="preserve">الغطاء النباتي للمراعي </w:t>
      </w:r>
      <w:r w:rsidR="00CD4D3E" w:rsidRPr="00054047">
        <w:rPr>
          <w:rFonts w:cstheme="minorHAnsi"/>
          <w:sz w:val="24"/>
          <w:szCs w:val="24"/>
          <w:rtl/>
        </w:rPr>
        <w:t xml:space="preserve"> من عكس </w:t>
      </w:r>
      <w:r w:rsidRPr="00054047">
        <w:rPr>
          <w:rFonts w:cstheme="minorHAnsi"/>
          <w:sz w:val="24"/>
          <w:szCs w:val="24"/>
          <w:rtl/>
        </w:rPr>
        <w:t>الإشعاع الحراري بدلاً من امتصاصه ، مما يساهم في التبريد العالمي).</w:t>
      </w:r>
    </w:p>
    <w:p w14:paraId="37A46D23" w14:textId="796281D3" w:rsidR="00B45068" w:rsidRPr="00054047" w:rsidRDefault="00B45068" w:rsidP="00FF62A7">
      <w:pPr>
        <w:bidi/>
        <w:jc w:val="both"/>
        <w:rPr>
          <w:rFonts w:cstheme="minorHAnsi"/>
          <w:sz w:val="24"/>
          <w:szCs w:val="24"/>
          <w:rtl/>
        </w:rPr>
      </w:pPr>
      <w:r w:rsidRPr="00054047">
        <w:rPr>
          <w:rFonts w:cstheme="minorHAnsi"/>
          <w:sz w:val="24"/>
          <w:szCs w:val="24"/>
          <w:rtl/>
        </w:rPr>
        <w:t>تمثل المراعي مركزاً ضخماً لتخزين الكربون وذلك بما يعادل حوالي 30٪ من إجمالي تخزين الكربون الأرضي [</w:t>
      </w:r>
      <w:r w:rsidR="00E0169B">
        <w:rPr>
          <w:rFonts w:cstheme="minorHAnsi" w:hint="cs"/>
          <w:sz w:val="24"/>
          <w:szCs w:val="24"/>
          <w:rtl/>
        </w:rPr>
        <w:t>6</w:t>
      </w:r>
      <w:r w:rsidRPr="00054047">
        <w:rPr>
          <w:rFonts w:cstheme="minorHAnsi"/>
          <w:sz w:val="24"/>
          <w:szCs w:val="24"/>
          <w:rtl/>
        </w:rPr>
        <w:t>]. لقد تم المبالغة في تقدير إمكانات عزل الكربون الناتجة عن تشجير المراعي نظراً لاستبعاد تخزين الكربون الموجود في المراعي في كثيرٍ من الأحيان [</w:t>
      </w:r>
      <w:r w:rsidR="00E0169B">
        <w:rPr>
          <w:rFonts w:cstheme="minorHAnsi" w:hint="cs"/>
          <w:sz w:val="24"/>
          <w:szCs w:val="24"/>
          <w:rtl/>
        </w:rPr>
        <w:t>7</w:t>
      </w:r>
      <w:r w:rsidRPr="00054047">
        <w:rPr>
          <w:rFonts w:cstheme="minorHAnsi"/>
          <w:sz w:val="24"/>
          <w:szCs w:val="24"/>
          <w:rtl/>
        </w:rPr>
        <w:t xml:space="preserve">]. </w:t>
      </w:r>
      <w:r w:rsidR="00753D4E" w:rsidRPr="00054047">
        <w:rPr>
          <w:rFonts w:cstheme="minorHAnsi"/>
          <w:sz w:val="24"/>
          <w:szCs w:val="24"/>
          <w:rtl/>
        </w:rPr>
        <w:t xml:space="preserve">إن النسبة الأكبر من تخزين الكربون في المراعي الطبيعية تتواجد تحت الأرض حيث تتم في الجذور والتربة ويتميز هذا المخزون بكونه مستقراً ولا يتثأثر بالحرائق و الرعي  </w:t>
      </w:r>
      <w:r w:rsidRPr="00054047">
        <w:rPr>
          <w:rFonts w:cstheme="minorHAnsi"/>
          <w:sz w:val="24"/>
          <w:szCs w:val="24"/>
          <w:rtl/>
        </w:rPr>
        <w:t xml:space="preserve">ولكنه </w:t>
      </w:r>
      <w:r w:rsidR="00753D4E" w:rsidRPr="00054047">
        <w:rPr>
          <w:rFonts w:cstheme="minorHAnsi"/>
          <w:sz w:val="24"/>
          <w:szCs w:val="24"/>
          <w:rtl/>
        </w:rPr>
        <w:t xml:space="preserve">من جهةٍ أخرى يكون </w:t>
      </w:r>
      <w:r w:rsidRPr="00054047">
        <w:rPr>
          <w:rFonts w:cstheme="minorHAnsi"/>
          <w:sz w:val="24"/>
          <w:szCs w:val="24"/>
          <w:rtl/>
        </w:rPr>
        <w:t>شديد الحساسية لخلخلة التربة [</w:t>
      </w:r>
      <w:r w:rsidR="00E0169B">
        <w:rPr>
          <w:rFonts w:cstheme="minorHAnsi" w:hint="cs"/>
          <w:sz w:val="24"/>
          <w:szCs w:val="24"/>
          <w:rtl/>
        </w:rPr>
        <w:t>8</w:t>
      </w:r>
      <w:r w:rsidRPr="00054047">
        <w:rPr>
          <w:rFonts w:cstheme="minorHAnsi"/>
          <w:sz w:val="24"/>
          <w:szCs w:val="24"/>
          <w:rtl/>
        </w:rPr>
        <w:t xml:space="preserve">]. </w:t>
      </w:r>
      <w:r w:rsidR="00753D4E" w:rsidRPr="00054047">
        <w:rPr>
          <w:rFonts w:cstheme="minorHAnsi"/>
          <w:sz w:val="24"/>
          <w:szCs w:val="24"/>
          <w:rtl/>
        </w:rPr>
        <w:t xml:space="preserve">كذلك يمكن للكتلة الحيوية العشبية </w:t>
      </w:r>
      <w:r w:rsidR="00E0169B">
        <w:rPr>
          <w:rFonts w:cstheme="minorHAnsi" w:hint="cs"/>
          <w:sz w:val="24"/>
          <w:szCs w:val="24"/>
          <w:rtl/>
        </w:rPr>
        <w:t>(</w:t>
      </w:r>
      <w:r w:rsidR="00E0169B" w:rsidRPr="00E0169B">
        <w:rPr>
          <w:rFonts w:cs="Calibri"/>
          <w:sz w:val="24"/>
          <w:szCs w:val="24"/>
          <w:rtl/>
        </w:rPr>
        <w:t>فوق سطح الأرض)</w:t>
      </w:r>
      <w:r w:rsidR="00E0169B">
        <w:rPr>
          <w:rFonts w:cstheme="minorHAnsi" w:hint="cs"/>
          <w:sz w:val="24"/>
          <w:szCs w:val="24"/>
          <w:rtl/>
        </w:rPr>
        <w:t xml:space="preserve"> </w:t>
      </w:r>
      <w:r w:rsidR="00753D4E" w:rsidRPr="00054047">
        <w:rPr>
          <w:rFonts w:cstheme="minorHAnsi"/>
          <w:sz w:val="24"/>
          <w:szCs w:val="24"/>
          <w:rtl/>
        </w:rPr>
        <w:t xml:space="preserve">المفقودة في حريق أن </w:t>
      </w:r>
      <w:r w:rsidRPr="00054047">
        <w:rPr>
          <w:rFonts w:cstheme="minorHAnsi"/>
          <w:sz w:val="24"/>
          <w:szCs w:val="24"/>
          <w:rtl/>
        </w:rPr>
        <w:t>تتعافى سريع</w:t>
      </w:r>
      <w:r w:rsidR="00753D4E" w:rsidRPr="00054047">
        <w:rPr>
          <w:rFonts w:cstheme="minorHAnsi"/>
          <w:sz w:val="24"/>
          <w:szCs w:val="24"/>
          <w:rtl/>
        </w:rPr>
        <w:t>اً</w:t>
      </w:r>
      <w:r w:rsidRPr="00054047">
        <w:rPr>
          <w:rFonts w:cstheme="minorHAnsi"/>
          <w:sz w:val="24"/>
          <w:szCs w:val="24"/>
          <w:rtl/>
        </w:rPr>
        <w:t xml:space="preserve"> خلال مواسم النمو اللاحقة. </w:t>
      </w:r>
      <w:r w:rsidR="00753D4E" w:rsidRPr="00054047">
        <w:rPr>
          <w:rFonts w:cstheme="minorHAnsi"/>
          <w:sz w:val="24"/>
          <w:szCs w:val="24"/>
          <w:rtl/>
        </w:rPr>
        <w:t xml:space="preserve"> </w:t>
      </w:r>
      <w:r w:rsidRPr="00054047">
        <w:rPr>
          <w:rFonts w:cstheme="minorHAnsi"/>
          <w:sz w:val="24"/>
          <w:szCs w:val="24"/>
          <w:rtl/>
        </w:rPr>
        <w:t xml:space="preserve">في المقابل ، تخزن </w:t>
      </w:r>
      <w:r w:rsidR="00753D4E" w:rsidRPr="00054047">
        <w:rPr>
          <w:rFonts w:cstheme="minorHAnsi"/>
          <w:sz w:val="24"/>
          <w:szCs w:val="24"/>
          <w:rtl/>
        </w:rPr>
        <w:t>المناطة المزروعة</w:t>
      </w:r>
      <w:r w:rsidRPr="00054047">
        <w:rPr>
          <w:rFonts w:cstheme="minorHAnsi"/>
          <w:sz w:val="24"/>
          <w:szCs w:val="24"/>
          <w:rtl/>
        </w:rPr>
        <w:t xml:space="preserve"> </w:t>
      </w:r>
      <w:r w:rsidR="00753D4E" w:rsidRPr="00054047">
        <w:rPr>
          <w:rFonts w:cstheme="minorHAnsi"/>
          <w:sz w:val="24"/>
          <w:szCs w:val="24"/>
          <w:rtl/>
        </w:rPr>
        <w:t>ب</w:t>
      </w:r>
      <w:r w:rsidRPr="00054047">
        <w:rPr>
          <w:rFonts w:cstheme="minorHAnsi"/>
          <w:sz w:val="24"/>
          <w:szCs w:val="24"/>
          <w:rtl/>
        </w:rPr>
        <w:t>الأشجار معظم الكربون فوق الأرض ، حيث تكون عرضة</w:t>
      </w:r>
      <w:r w:rsidR="00753D4E" w:rsidRPr="00054047">
        <w:rPr>
          <w:rFonts w:cstheme="minorHAnsi"/>
          <w:sz w:val="24"/>
          <w:szCs w:val="24"/>
          <w:rtl/>
        </w:rPr>
        <w:t>ً</w:t>
      </w:r>
      <w:r w:rsidRPr="00054047">
        <w:rPr>
          <w:rFonts w:cstheme="minorHAnsi"/>
          <w:sz w:val="24"/>
          <w:szCs w:val="24"/>
          <w:rtl/>
        </w:rPr>
        <w:t xml:space="preserve"> للخسارة الكارثية بسبب حرائق الغابات، ومسببات الأمراض، والجفاف، والاضطرابات التي تزداد تواتر</w:t>
      </w:r>
      <w:r w:rsidR="00753D4E" w:rsidRPr="00054047">
        <w:rPr>
          <w:rFonts w:cstheme="minorHAnsi"/>
          <w:sz w:val="24"/>
          <w:szCs w:val="24"/>
          <w:rtl/>
        </w:rPr>
        <w:t>اً</w:t>
      </w:r>
      <w:r w:rsidRPr="00054047">
        <w:rPr>
          <w:rFonts w:cstheme="minorHAnsi"/>
          <w:sz w:val="24"/>
          <w:szCs w:val="24"/>
          <w:rtl/>
        </w:rPr>
        <w:t xml:space="preserve"> وانتشار</w:t>
      </w:r>
      <w:r w:rsidR="00753D4E" w:rsidRPr="00054047">
        <w:rPr>
          <w:rFonts w:cstheme="minorHAnsi"/>
          <w:sz w:val="24"/>
          <w:szCs w:val="24"/>
          <w:rtl/>
        </w:rPr>
        <w:t>اً</w:t>
      </w:r>
      <w:r w:rsidRPr="00054047">
        <w:rPr>
          <w:rFonts w:cstheme="minorHAnsi"/>
          <w:sz w:val="24"/>
          <w:szCs w:val="24"/>
          <w:rtl/>
        </w:rPr>
        <w:t xml:space="preserve"> في ظل </w:t>
      </w:r>
      <w:r w:rsidR="00753D4E" w:rsidRPr="00054047">
        <w:rPr>
          <w:rFonts w:cstheme="minorHAnsi"/>
          <w:sz w:val="24"/>
          <w:szCs w:val="24"/>
          <w:rtl/>
        </w:rPr>
        <w:t xml:space="preserve">ظروف </w:t>
      </w:r>
      <w:r w:rsidRPr="00054047">
        <w:rPr>
          <w:rFonts w:cstheme="minorHAnsi"/>
          <w:sz w:val="24"/>
          <w:szCs w:val="24"/>
          <w:rtl/>
        </w:rPr>
        <w:t>تغير المناخ [</w:t>
      </w:r>
      <w:r w:rsidR="00FF62A7">
        <w:rPr>
          <w:rFonts w:cstheme="minorHAnsi" w:hint="cs"/>
          <w:sz w:val="24"/>
          <w:szCs w:val="24"/>
          <w:rtl/>
        </w:rPr>
        <w:t>10</w:t>
      </w:r>
      <w:r w:rsidRPr="00054047">
        <w:rPr>
          <w:rFonts w:cstheme="minorHAnsi"/>
          <w:sz w:val="24"/>
          <w:szCs w:val="24"/>
          <w:rtl/>
        </w:rPr>
        <w:t>،9].</w:t>
      </w:r>
    </w:p>
    <w:p w14:paraId="270AA2C9" w14:textId="44FD811C" w:rsidR="00753D4E" w:rsidRPr="00054047" w:rsidRDefault="00BD45DE" w:rsidP="00FF62A7">
      <w:pPr>
        <w:bidi/>
        <w:jc w:val="both"/>
        <w:rPr>
          <w:rFonts w:cstheme="minorHAnsi"/>
          <w:sz w:val="24"/>
          <w:szCs w:val="24"/>
          <w:rtl/>
        </w:rPr>
      </w:pPr>
      <w:r w:rsidRPr="00054047">
        <w:rPr>
          <w:rFonts w:cstheme="minorHAnsi"/>
          <w:sz w:val="24"/>
          <w:szCs w:val="24"/>
          <w:rtl/>
        </w:rPr>
        <w:t>إن خطة ت</w:t>
      </w:r>
      <w:r w:rsidR="00753D4E" w:rsidRPr="00054047">
        <w:rPr>
          <w:rFonts w:cstheme="minorHAnsi"/>
          <w:sz w:val="24"/>
          <w:szCs w:val="24"/>
          <w:rtl/>
        </w:rPr>
        <w:t xml:space="preserve">شجير المراعي </w:t>
      </w:r>
      <w:r w:rsidRPr="00054047">
        <w:rPr>
          <w:rFonts w:cstheme="minorHAnsi"/>
          <w:sz w:val="24"/>
          <w:szCs w:val="24"/>
          <w:rtl/>
        </w:rPr>
        <w:t>هي</w:t>
      </w:r>
      <w:r w:rsidR="00753D4E" w:rsidRPr="00054047">
        <w:rPr>
          <w:rFonts w:cstheme="minorHAnsi"/>
          <w:sz w:val="24"/>
          <w:szCs w:val="24"/>
          <w:rtl/>
        </w:rPr>
        <w:t xml:space="preserve"> استراتيجية </w:t>
      </w:r>
      <w:r w:rsidRPr="00054047">
        <w:rPr>
          <w:rFonts w:cstheme="minorHAnsi"/>
          <w:sz w:val="24"/>
          <w:szCs w:val="24"/>
          <w:rtl/>
        </w:rPr>
        <w:t xml:space="preserve">غير فعالة </w:t>
      </w:r>
      <w:r w:rsidR="00753D4E" w:rsidRPr="00054047">
        <w:rPr>
          <w:rFonts w:cstheme="minorHAnsi"/>
          <w:sz w:val="24"/>
          <w:szCs w:val="24"/>
          <w:rtl/>
        </w:rPr>
        <w:t xml:space="preserve"> للتخفيف من آثار تغير </w:t>
      </w:r>
      <w:r w:rsidRPr="00054047">
        <w:rPr>
          <w:rFonts w:cstheme="minorHAnsi"/>
          <w:sz w:val="24"/>
          <w:szCs w:val="24"/>
          <w:rtl/>
        </w:rPr>
        <w:t xml:space="preserve">تغير </w:t>
      </w:r>
      <w:r w:rsidR="00753D4E" w:rsidRPr="00054047">
        <w:rPr>
          <w:rFonts w:cstheme="minorHAnsi"/>
          <w:sz w:val="24"/>
          <w:szCs w:val="24"/>
          <w:rtl/>
        </w:rPr>
        <w:t>المناخ لأن</w:t>
      </w:r>
      <w:r w:rsidRPr="00054047">
        <w:rPr>
          <w:rFonts w:cstheme="minorHAnsi"/>
          <w:sz w:val="24"/>
          <w:szCs w:val="24"/>
          <w:rtl/>
        </w:rPr>
        <w:t xml:space="preserve"> ما سيتم الحصول عليه هو تخزين</w:t>
      </w:r>
      <w:r w:rsidR="00753D4E" w:rsidRPr="00054047">
        <w:rPr>
          <w:rFonts w:cstheme="minorHAnsi"/>
          <w:sz w:val="24"/>
          <w:szCs w:val="24"/>
          <w:rtl/>
        </w:rPr>
        <w:t xml:space="preserve"> القليل من الكربون الإضافي </w:t>
      </w:r>
      <w:r w:rsidRPr="00054047">
        <w:rPr>
          <w:rFonts w:cstheme="minorHAnsi"/>
          <w:sz w:val="24"/>
          <w:szCs w:val="24"/>
          <w:rtl/>
        </w:rPr>
        <w:t>أ</w:t>
      </w:r>
      <w:r w:rsidR="00753D4E" w:rsidRPr="00054047">
        <w:rPr>
          <w:rFonts w:cstheme="minorHAnsi"/>
          <w:sz w:val="24"/>
          <w:szCs w:val="24"/>
          <w:rtl/>
        </w:rPr>
        <w:t>و</w:t>
      </w:r>
      <w:r w:rsidRPr="00054047">
        <w:rPr>
          <w:rFonts w:cstheme="minorHAnsi"/>
          <w:sz w:val="24"/>
          <w:szCs w:val="24"/>
          <w:rtl/>
        </w:rPr>
        <w:t xml:space="preserve"> </w:t>
      </w:r>
      <w:r w:rsidR="00753D4E" w:rsidRPr="00054047">
        <w:rPr>
          <w:rFonts w:cstheme="minorHAnsi"/>
          <w:sz w:val="24"/>
          <w:szCs w:val="24"/>
          <w:rtl/>
        </w:rPr>
        <w:t xml:space="preserve">قد </w:t>
      </w:r>
      <w:r w:rsidRPr="00054047">
        <w:rPr>
          <w:rFonts w:cstheme="minorHAnsi"/>
          <w:sz w:val="24"/>
          <w:szCs w:val="24"/>
          <w:rtl/>
        </w:rPr>
        <w:t>ت</w:t>
      </w:r>
      <w:r w:rsidR="00753D4E" w:rsidRPr="00054047">
        <w:rPr>
          <w:rFonts w:cstheme="minorHAnsi"/>
          <w:sz w:val="24"/>
          <w:szCs w:val="24"/>
          <w:rtl/>
        </w:rPr>
        <w:t xml:space="preserve">ؤدي إلى خسارة </w:t>
      </w:r>
      <w:r w:rsidRPr="00054047">
        <w:rPr>
          <w:rFonts w:cstheme="minorHAnsi"/>
          <w:sz w:val="24"/>
          <w:szCs w:val="24"/>
          <w:rtl/>
        </w:rPr>
        <w:t>في النسبة ال</w:t>
      </w:r>
      <w:r w:rsidR="00753D4E" w:rsidRPr="00054047">
        <w:rPr>
          <w:rFonts w:cstheme="minorHAnsi"/>
          <w:sz w:val="24"/>
          <w:szCs w:val="24"/>
          <w:rtl/>
        </w:rPr>
        <w:t xml:space="preserve">صافية </w:t>
      </w:r>
      <w:r w:rsidRPr="00054047">
        <w:rPr>
          <w:rFonts w:cstheme="minorHAnsi"/>
          <w:sz w:val="24"/>
          <w:szCs w:val="24"/>
          <w:rtl/>
        </w:rPr>
        <w:t>ا</w:t>
      </w:r>
      <w:r w:rsidR="00753D4E" w:rsidRPr="00054047">
        <w:rPr>
          <w:rFonts w:cstheme="minorHAnsi"/>
          <w:sz w:val="24"/>
          <w:szCs w:val="24"/>
          <w:rtl/>
        </w:rPr>
        <w:t>لكربون</w:t>
      </w:r>
      <w:r w:rsidRPr="00054047">
        <w:rPr>
          <w:rFonts w:cstheme="minorHAnsi"/>
          <w:sz w:val="24"/>
          <w:szCs w:val="24"/>
          <w:rtl/>
        </w:rPr>
        <w:t xml:space="preserve"> المخزن</w:t>
      </w:r>
      <w:r w:rsidR="00753D4E" w:rsidRPr="00054047">
        <w:rPr>
          <w:rFonts w:cstheme="minorHAnsi"/>
          <w:sz w:val="24"/>
          <w:szCs w:val="24"/>
          <w:rtl/>
        </w:rPr>
        <w:t xml:space="preserve"> [1</w:t>
      </w:r>
      <w:r w:rsidR="00FF62A7">
        <w:rPr>
          <w:rFonts w:cstheme="minorHAnsi" w:hint="cs"/>
          <w:sz w:val="24"/>
          <w:szCs w:val="24"/>
          <w:rtl/>
        </w:rPr>
        <w:t>1</w:t>
      </w:r>
      <w:r w:rsidR="00753D4E" w:rsidRPr="00054047">
        <w:rPr>
          <w:rFonts w:cstheme="minorHAnsi"/>
          <w:sz w:val="24"/>
          <w:szCs w:val="24"/>
          <w:rtl/>
        </w:rPr>
        <w:t xml:space="preserve">]، </w:t>
      </w:r>
      <w:r w:rsidRPr="00054047">
        <w:rPr>
          <w:rFonts w:cstheme="minorHAnsi"/>
          <w:sz w:val="24"/>
          <w:szCs w:val="24"/>
          <w:rtl/>
        </w:rPr>
        <w:t xml:space="preserve">إضافةً إلى أن تطبيق هذه </w:t>
      </w:r>
      <w:r w:rsidRPr="00054047">
        <w:rPr>
          <w:rFonts w:cstheme="minorHAnsi"/>
          <w:sz w:val="24"/>
          <w:szCs w:val="24"/>
          <w:rtl/>
        </w:rPr>
        <w:lastRenderedPageBreak/>
        <w:t>الاستراتيجية سوف</w:t>
      </w:r>
      <w:r w:rsidR="00753D4E" w:rsidRPr="00054047">
        <w:rPr>
          <w:rFonts w:cstheme="minorHAnsi"/>
          <w:sz w:val="24"/>
          <w:szCs w:val="24"/>
          <w:rtl/>
        </w:rPr>
        <w:t xml:space="preserve"> يؤدي إلى تدهور التنوع البيولوجي للمراعي و</w:t>
      </w:r>
      <w:r w:rsidRPr="00054047">
        <w:rPr>
          <w:rFonts w:cstheme="minorHAnsi"/>
          <w:sz w:val="24"/>
          <w:szCs w:val="24"/>
          <w:rtl/>
        </w:rPr>
        <w:t>تقليل ال</w:t>
      </w:r>
      <w:r w:rsidR="00753D4E" w:rsidRPr="00054047">
        <w:rPr>
          <w:rFonts w:cstheme="minorHAnsi"/>
          <w:sz w:val="24"/>
          <w:szCs w:val="24"/>
          <w:rtl/>
        </w:rPr>
        <w:t xml:space="preserve">خدمات </w:t>
      </w:r>
      <w:r w:rsidRPr="00054047">
        <w:rPr>
          <w:rFonts w:cstheme="minorHAnsi"/>
          <w:sz w:val="24"/>
          <w:szCs w:val="24"/>
          <w:rtl/>
        </w:rPr>
        <w:t xml:space="preserve">التي تقدمها هذه </w:t>
      </w:r>
      <w:r w:rsidR="00753D4E" w:rsidRPr="00054047">
        <w:rPr>
          <w:rFonts w:cstheme="minorHAnsi"/>
          <w:sz w:val="24"/>
          <w:szCs w:val="24"/>
          <w:rtl/>
        </w:rPr>
        <w:t xml:space="preserve">النظم الإيكولوجية مثل توفير الأعلاف. تقوم مزارع الأشجار التجارية على وجه الخصوص باحتجاز كمية أقل بكثير من الكربون مقارنة بالغابات الأصلية </w:t>
      </w:r>
      <w:r w:rsidR="005B245B" w:rsidRPr="00054047">
        <w:rPr>
          <w:rFonts w:cstheme="minorHAnsi"/>
          <w:sz w:val="24"/>
          <w:szCs w:val="24"/>
          <w:rtl/>
        </w:rPr>
        <w:t xml:space="preserve">كما أنها </w:t>
      </w:r>
      <w:r w:rsidR="00753D4E" w:rsidRPr="00054047">
        <w:rPr>
          <w:rFonts w:cstheme="minorHAnsi"/>
          <w:sz w:val="24"/>
          <w:szCs w:val="24"/>
          <w:rtl/>
        </w:rPr>
        <w:t xml:space="preserve">تحتوي على كمية </w:t>
      </w:r>
      <w:r w:rsidR="005B245B" w:rsidRPr="00054047">
        <w:rPr>
          <w:rFonts w:cstheme="minorHAnsi"/>
          <w:sz w:val="24"/>
          <w:szCs w:val="24"/>
          <w:rtl/>
        </w:rPr>
        <w:t xml:space="preserve">من الكربون تزيد بنسبة </w:t>
      </w:r>
      <w:r w:rsidR="00753D4E" w:rsidRPr="00054047">
        <w:rPr>
          <w:rFonts w:cstheme="minorHAnsi"/>
          <w:sz w:val="24"/>
          <w:szCs w:val="24"/>
          <w:rtl/>
        </w:rPr>
        <w:t xml:space="preserve">قليلة </w:t>
      </w:r>
      <w:r w:rsidR="005B245B" w:rsidRPr="00054047">
        <w:rPr>
          <w:rFonts w:cstheme="minorHAnsi"/>
          <w:sz w:val="24"/>
          <w:szCs w:val="24"/>
          <w:rtl/>
        </w:rPr>
        <w:t xml:space="preserve">عن معدل الكربون المتواجد في أراضي المراعي الطبيعية </w:t>
      </w:r>
      <w:r w:rsidR="00753D4E" w:rsidRPr="00054047">
        <w:rPr>
          <w:rFonts w:cstheme="minorHAnsi"/>
          <w:sz w:val="24"/>
          <w:szCs w:val="24"/>
          <w:rtl/>
        </w:rPr>
        <w:t>التي تم تطهيرها لزراع</w:t>
      </w:r>
      <w:r w:rsidR="005B245B" w:rsidRPr="00054047">
        <w:rPr>
          <w:rFonts w:cstheme="minorHAnsi"/>
          <w:sz w:val="24"/>
          <w:szCs w:val="24"/>
          <w:rtl/>
        </w:rPr>
        <w:t>ة هذه الأشجار</w:t>
      </w:r>
      <w:r w:rsidR="00753D4E" w:rsidRPr="00054047">
        <w:rPr>
          <w:rFonts w:cstheme="minorHAnsi"/>
          <w:sz w:val="24"/>
          <w:szCs w:val="24"/>
          <w:rtl/>
        </w:rPr>
        <w:t xml:space="preserve"> [1</w:t>
      </w:r>
      <w:r w:rsidR="00FF62A7">
        <w:rPr>
          <w:rFonts w:cstheme="minorHAnsi" w:hint="cs"/>
          <w:sz w:val="24"/>
          <w:szCs w:val="24"/>
          <w:rtl/>
        </w:rPr>
        <w:t>2</w:t>
      </w:r>
      <w:r w:rsidR="00753D4E" w:rsidRPr="00054047">
        <w:rPr>
          <w:rFonts w:cstheme="minorHAnsi"/>
          <w:sz w:val="24"/>
          <w:szCs w:val="24"/>
          <w:rtl/>
        </w:rPr>
        <w:t xml:space="preserve">]. عندما تحل </w:t>
      </w:r>
      <w:r w:rsidR="005B245B" w:rsidRPr="00054047">
        <w:rPr>
          <w:rFonts w:cstheme="minorHAnsi"/>
          <w:sz w:val="24"/>
          <w:szCs w:val="24"/>
          <w:rtl/>
        </w:rPr>
        <w:t xml:space="preserve">زراعة الأشجار </w:t>
      </w:r>
      <w:r w:rsidR="00753D4E" w:rsidRPr="00054047">
        <w:rPr>
          <w:rFonts w:cstheme="minorHAnsi"/>
          <w:sz w:val="24"/>
          <w:szCs w:val="24"/>
          <w:rtl/>
        </w:rPr>
        <w:t xml:space="preserve">محل المراعي ، فإنها تقلل من التنوع البيولوجي (الحيوانات والنباتات)، </w:t>
      </w:r>
      <w:r w:rsidR="005B245B" w:rsidRPr="00054047">
        <w:rPr>
          <w:rFonts w:cstheme="minorHAnsi"/>
          <w:sz w:val="24"/>
          <w:szCs w:val="24"/>
          <w:rtl/>
        </w:rPr>
        <w:t xml:space="preserve">كما تؤثر على </w:t>
      </w:r>
      <w:r w:rsidR="00753D4E" w:rsidRPr="00054047">
        <w:rPr>
          <w:rFonts w:cstheme="minorHAnsi"/>
          <w:sz w:val="24"/>
          <w:szCs w:val="24"/>
          <w:rtl/>
        </w:rPr>
        <w:t>تدفق مجاري المياه و</w:t>
      </w:r>
      <w:r w:rsidR="005B245B" w:rsidRPr="00054047">
        <w:rPr>
          <w:rFonts w:cstheme="minorHAnsi"/>
          <w:sz w:val="24"/>
          <w:szCs w:val="24"/>
          <w:rtl/>
        </w:rPr>
        <w:t xml:space="preserve">درجة </w:t>
      </w:r>
      <w:r w:rsidR="00753D4E" w:rsidRPr="00054047">
        <w:rPr>
          <w:rFonts w:cstheme="minorHAnsi"/>
          <w:sz w:val="24"/>
          <w:szCs w:val="24"/>
          <w:rtl/>
        </w:rPr>
        <w:t xml:space="preserve">البياض، </w:t>
      </w:r>
      <w:r w:rsidR="002F27A9">
        <w:rPr>
          <w:rFonts w:cstheme="minorHAnsi" w:hint="cs"/>
          <w:sz w:val="24"/>
          <w:szCs w:val="24"/>
          <w:rtl/>
        </w:rPr>
        <w:t>إضافةً ل</w:t>
      </w:r>
      <w:r w:rsidR="005B245B" w:rsidRPr="00054047">
        <w:rPr>
          <w:rFonts w:cstheme="minorHAnsi"/>
          <w:sz w:val="24"/>
          <w:szCs w:val="24"/>
          <w:rtl/>
        </w:rPr>
        <w:t xml:space="preserve">أنها </w:t>
      </w:r>
      <w:r w:rsidR="00753D4E" w:rsidRPr="00054047">
        <w:rPr>
          <w:rFonts w:cstheme="minorHAnsi"/>
          <w:sz w:val="24"/>
          <w:szCs w:val="24"/>
          <w:rtl/>
        </w:rPr>
        <w:t xml:space="preserve">تزيد من مخاطر حرائق الغابات </w:t>
      </w:r>
      <w:r w:rsidR="005B245B" w:rsidRPr="00054047">
        <w:rPr>
          <w:rFonts w:cstheme="minorHAnsi"/>
          <w:sz w:val="24"/>
          <w:szCs w:val="24"/>
          <w:rtl/>
        </w:rPr>
        <w:t>فيما بعد</w:t>
      </w:r>
      <w:r w:rsidR="00753D4E" w:rsidRPr="00054047">
        <w:rPr>
          <w:rFonts w:cstheme="minorHAnsi"/>
          <w:sz w:val="24"/>
          <w:szCs w:val="24"/>
          <w:rtl/>
        </w:rPr>
        <w:t xml:space="preserve">، </w:t>
      </w:r>
      <w:r w:rsidR="005B245B" w:rsidRPr="00054047">
        <w:rPr>
          <w:rFonts w:cstheme="minorHAnsi"/>
          <w:sz w:val="24"/>
          <w:szCs w:val="24"/>
          <w:rtl/>
        </w:rPr>
        <w:t xml:space="preserve">كما أنها </w:t>
      </w:r>
      <w:r w:rsidR="00753D4E" w:rsidRPr="00054047">
        <w:rPr>
          <w:rFonts w:cstheme="minorHAnsi"/>
          <w:sz w:val="24"/>
          <w:szCs w:val="24"/>
          <w:rtl/>
        </w:rPr>
        <w:t xml:space="preserve"> تؤثر سلب</w:t>
      </w:r>
      <w:r w:rsidR="005B245B" w:rsidRPr="00054047">
        <w:rPr>
          <w:rFonts w:cstheme="minorHAnsi"/>
          <w:sz w:val="24"/>
          <w:szCs w:val="24"/>
          <w:rtl/>
        </w:rPr>
        <w:t xml:space="preserve">اً </w:t>
      </w:r>
      <w:r w:rsidR="00753D4E" w:rsidRPr="00054047">
        <w:rPr>
          <w:rFonts w:cstheme="minorHAnsi"/>
          <w:sz w:val="24"/>
          <w:szCs w:val="24"/>
          <w:rtl/>
        </w:rPr>
        <w:t xml:space="preserve">على سبل عيش الأشخاص الذين يعتمدون على الثروة الحيوانية والحياة البرية </w:t>
      </w:r>
      <w:r w:rsidR="005B245B" w:rsidRPr="00054047">
        <w:rPr>
          <w:rFonts w:cstheme="minorHAnsi"/>
          <w:sz w:val="24"/>
          <w:szCs w:val="24"/>
          <w:rtl/>
        </w:rPr>
        <w:t xml:space="preserve">في هذه المناطق </w:t>
      </w:r>
      <w:r w:rsidR="00753D4E" w:rsidRPr="00054047">
        <w:rPr>
          <w:rFonts w:cstheme="minorHAnsi"/>
          <w:sz w:val="24"/>
          <w:szCs w:val="24"/>
          <w:rtl/>
        </w:rPr>
        <w:t>[1</w:t>
      </w:r>
      <w:r w:rsidR="00FF62A7">
        <w:rPr>
          <w:rFonts w:cstheme="minorHAnsi" w:hint="cs"/>
          <w:sz w:val="24"/>
          <w:szCs w:val="24"/>
          <w:rtl/>
        </w:rPr>
        <w:t>4</w:t>
      </w:r>
      <w:r w:rsidR="00753D4E" w:rsidRPr="00054047">
        <w:rPr>
          <w:rFonts w:cstheme="minorHAnsi"/>
          <w:sz w:val="24"/>
          <w:szCs w:val="24"/>
          <w:rtl/>
        </w:rPr>
        <w:t xml:space="preserve"> ، 13].</w:t>
      </w:r>
    </w:p>
    <w:p w14:paraId="792E391E" w14:textId="0AD503B0" w:rsidR="00753D4E" w:rsidRPr="00054047" w:rsidRDefault="005B245B" w:rsidP="00FF62A7">
      <w:pPr>
        <w:bidi/>
        <w:jc w:val="both"/>
        <w:rPr>
          <w:rFonts w:cstheme="minorHAnsi"/>
          <w:sz w:val="24"/>
          <w:szCs w:val="24"/>
          <w:rtl/>
        </w:rPr>
      </w:pPr>
      <w:r w:rsidRPr="00054047">
        <w:rPr>
          <w:rFonts w:cstheme="minorHAnsi"/>
          <w:sz w:val="24"/>
          <w:szCs w:val="24"/>
          <w:rtl/>
        </w:rPr>
        <w:t xml:space="preserve">تدعم المراعي </w:t>
      </w:r>
      <w:r w:rsidR="00C87162" w:rsidRPr="00054047">
        <w:rPr>
          <w:rFonts w:cstheme="minorHAnsi"/>
          <w:sz w:val="24"/>
          <w:szCs w:val="24"/>
          <w:rtl/>
        </w:rPr>
        <w:t xml:space="preserve">الطبيعية </w:t>
      </w:r>
      <w:r w:rsidRPr="00054047">
        <w:rPr>
          <w:rFonts w:cstheme="minorHAnsi"/>
          <w:sz w:val="24"/>
          <w:szCs w:val="24"/>
          <w:rtl/>
        </w:rPr>
        <w:t xml:space="preserve">سبل عيش الملايين من الرعاة والرعاة المزراعين، إذ توفر مصدراً  مهماً  للأمن الغذائي والسيادة من خلال إنتاج المنتجات الحيوانية. </w:t>
      </w:r>
      <w:r w:rsidR="002F27A9">
        <w:rPr>
          <w:rFonts w:cstheme="minorHAnsi" w:hint="cs"/>
          <w:sz w:val="24"/>
          <w:szCs w:val="24"/>
          <w:rtl/>
        </w:rPr>
        <w:t xml:space="preserve">من جهةٍ أخرى، </w:t>
      </w:r>
      <w:r w:rsidRPr="00054047">
        <w:rPr>
          <w:rFonts w:cstheme="minorHAnsi"/>
          <w:sz w:val="24"/>
          <w:szCs w:val="24"/>
          <w:rtl/>
        </w:rPr>
        <w:t>نادراً ما يتم تقييم فوائد وتكاليف تشجير المراعي للمجتمعات المحلية بدقة لأن المشاريع تركز بشكل أساسي على الأهداف الفنية كأعداد الأشجار المزروعة والمساحات المستعادة وأعداد الأشخاص</w:t>
      </w:r>
      <w:r w:rsidR="00C87162" w:rsidRPr="00054047">
        <w:rPr>
          <w:rFonts w:cstheme="minorHAnsi"/>
          <w:sz w:val="24"/>
          <w:szCs w:val="24"/>
          <w:rtl/>
        </w:rPr>
        <w:t xml:space="preserve"> الذين تم تدريبهم</w:t>
      </w:r>
      <w:r w:rsidRPr="00054047">
        <w:rPr>
          <w:rFonts w:cstheme="minorHAnsi"/>
          <w:sz w:val="24"/>
          <w:szCs w:val="24"/>
          <w:rtl/>
        </w:rPr>
        <w:t xml:space="preserve"> [1</w:t>
      </w:r>
      <w:r w:rsidR="00FF62A7">
        <w:rPr>
          <w:rFonts w:cstheme="minorHAnsi" w:hint="cs"/>
          <w:sz w:val="24"/>
          <w:szCs w:val="24"/>
          <w:rtl/>
        </w:rPr>
        <w:t>5</w:t>
      </w:r>
      <w:r w:rsidRPr="00054047">
        <w:rPr>
          <w:rFonts w:cstheme="minorHAnsi"/>
          <w:sz w:val="24"/>
          <w:szCs w:val="24"/>
          <w:rtl/>
        </w:rPr>
        <w:t>].</w:t>
      </w:r>
    </w:p>
    <w:p w14:paraId="2EE41B2D" w14:textId="463DDA30" w:rsidR="00C87162" w:rsidRPr="00054047" w:rsidRDefault="00C87162" w:rsidP="00FF62A7">
      <w:pPr>
        <w:bidi/>
        <w:jc w:val="both"/>
        <w:rPr>
          <w:rFonts w:cstheme="minorHAnsi"/>
          <w:sz w:val="24"/>
          <w:szCs w:val="24"/>
          <w:rtl/>
        </w:rPr>
      </w:pPr>
      <w:r w:rsidRPr="00054047">
        <w:rPr>
          <w:rFonts w:cstheme="minorHAnsi"/>
          <w:sz w:val="24"/>
          <w:szCs w:val="24"/>
          <w:rtl/>
        </w:rPr>
        <w:t>إن أهم أساليب التخفيف من آثار تغير المناخ بالنسبة للمراعي تكمن في الحفاظ على مخزون الكربون الموجود والتنوع البيولوجي، والإدارة الحكيمة للمراعي على أساس الأخذ بعين الاعتبار الاضطرابات الطبيعية الناتجة عن الرعي والحرائق، واستعادة المراعي المتدهورة بالأعشاب والأعشاب والشجيرات والأشجار المتناثرة [1</w:t>
      </w:r>
      <w:r w:rsidR="00FF62A7">
        <w:rPr>
          <w:rFonts w:cstheme="minorHAnsi" w:hint="cs"/>
          <w:sz w:val="24"/>
          <w:szCs w:val="24"/>
          <w:rtl/>
        </w:rPr>
        <w:t>6</w:t>
      </w:r>
      <w:r w:rsidRPr="00054047">
        <w:rPr>
          <w:rFonts w:cstheme="minorHAnsi"/>
          <w:sz w:val="24"/>
          <w:szCs w:val="24"/>
          <w:rtl/>
        </w:rPr>
        <w:t xml:space="preserve"> ] مع الحد من تدهور التربة أيضاً. سيسمح هذا أيض</w:t>
      </w:r>
      <w:r w:rsidR="000C341E" w:rsidRPr="00054047">
        <w:rPr>
          <w:rFonts w:cstheme="minorHAnsi"/>
          <w:sz w:val="24"/>
          <w:szCs w:val="24"/>
          <w:rtl/>
        </w:rPr>
        <w:t>اً</w:t>
      </w:r>
      <w:r w:rsidRPr="00054047">
        <w:rPr>
          <w:rFonts w:cstheme="minorHAnsi"/>
          <w:sz w:val="24"/>
          <w:szCs w:val="24"/>
          <w:rtl/>
        </w:rPr>
        <w:t xml:space="preserve"> للمراعي ب</w:t>
      </w:r>
      <w:r w:rsidR="000C341E" w:rsidRPr="00054047">
        <w:rPr>
          <w:rFonts w:cstheme="minorHAnsi"/>
          <w:sz w:val="24"/>
          <w:szCs w:val="24"/>
          <w:rtl/>
        </w:rPr>
        <w:t xml:space="preserve">تقديم </w:t>
      </w:r>
      <w:r w:rsidRPr="00054047">
        <w:rPr>
          <w:rFonts w:cstheme="minorHAnsi"/>
          <w:sz w:val="24"/>
          <w:szCs w:val="24"/>
          <w:rtl/>
        </w:rPr>
        <w:t xml:space="preserve"> العديد من خدمات النظام الإيكولوجي مع الاحتفاظ بإمكانياتها </w:t>
      </w:r>
      <w:r w:rsidR="000C341E" w:rsidRPr="00054047">
        <w:rPr>
          <w:rFonts w:cstheme="minorHAnsi"/>
          <w:sz w:val="24"/>
          <w:szCs w:val="24"/>
          <w:rtl/>
        </w:rPr>
        <w:t xml:space="preserve">من ناحية المرونة و التكيف </w:t>
      </w:r>
      <w:r w:rsidRPr="00054047">
        <w:rPr>
          <w:rFonts w:cstheme="minorHAnsi"/>
          <w:sz w:val="24"/>
          <w:szCs w:val="24"/>
          <w:rtl/>
        </w:rPr>
        <w:t xml:space="preserve">مع التغير </w:t>
      </w:r>
      <w:r w:rsidR="000C341E" w:rsidRPr="00054047">
        <w:rPr>
          <w:rFonts w:cstheme="minorHAnsi"/>
          <w:sz w:val="24"/>
          <w:szCs w:val="24"/>
          <w:rtl/>
        </w:rPr>
        <w:t xml:space="preserve">المناخي </w:t>
      </w:r>
      <w:r w:rsidRPr="00054047">
        <w:rPr>
          <w:rFonts w:cstheme="minorHAnsi"/>
          <w:sz w:val="24"/>
          <w:szCs w:val="24"/>
          <w:rtl/>
        </w:rPr>
        <w:t>العالمي ، لا سيما عندما يؤدي ذلك إلى مناخات أكثر تقلب</w:t>
      </w:r>
      <w:r w:rsidR="000C341E" w:rsidRPr="00054047">
        <w:rPr>
          <w:rFonts w:cstheme="minorHAnsi"/>
          <w:sz w:val="24"/>
          <w:szCs w:val="24"/>
          <w:rtl/>
        </w:rPr>
        <w:t>اً</w:t>
      </w:r>
      <w:r w:rsidRPr="00054047">
        <w:rPr>
          <w:rFonts w:cstheme="minorHAnsi"/>
          <w:sz w:val="24"/>
          <w:szCs w:val="24"/>
          <w:rtl/>
        </w:rPr>
        <w:t xml:space="preserve"> وأقل إنتاجية</w:t>
      </w:r>
      <w:r w:rsidR="000C341E" w:rsidRPr="00054047">
        <w:rPr>
          <w:rFonts w:cstheme="minorHAnsi"/>
          <w:sz w:val="24"/>
          <w:szCs w:val="24"/>
          <w:rtl/>
        </w:rPr>
        <w:t xml:space="preserve">ً مما </w:t>
      </w:r>
      <w:r w:rsidRPr="00054047">
        <w:rPr>
          <w:rFonts w:cstheme="minorHAnsi"/>
          <w:sz w:val="24"/>
          <w:szCs w:val="24"/>
          <w:rtl/>
        </w:rPr>
        <w:t xml:space="preserve"> </w:t>
      </w:r>
      <w:r w:rsidR="000C341E" w:rsidRPr="00054047">
        <w:rPr>
          <w:rFonts w:cstheme="minorHAnsi"/>
          <w:sz w:val="24"/>
          <w:szCs w:val="24"/>
          <w:rtl/>
        </w:rPr>
        <w:t>ي</w:t>
      </w:r>
      <w:r w:rsidRPr="00054047">
        <w:rPr>
          <w:rFonts w:cstheme="minorHAnsi"/>
          <w:sz w:val="24"/>
          <w:szCs w:val="24"/>
          <w:rtl/>
        </w:rPr>
        <w:t xml:space="preserve">جعل </w:t>
      </w:r>
      <w:r w:rsidR="000C341E" w:rsidRPr="00054047">
        <w:rPr>
          <w:rFonts w:cstheme="minorHAnsi"/>
          <w:sz w:val="24"/>
          <w:szCs w:val="24"/>
          <w:rtl/>
        </w:rPr>
        <w:t xml:space="preserve">نظم </w:t>
      </w:r>
      <w:r w:rsidRPr="00054047">
        <w:rPr>
          <w:rFonts w:cstheme="minorHAnsi"/>
          <w:sz w:val="24"/>
          <w:szCs w:val="24"/>
          <w:rtl/>
        </w:rPr>
        <w:t xml:space="preserve">الغابات وإنتاج المحاصيل </w:t>
      </w:r>
      <w:r w:rsidR="000C341E" w:rsidRPr="00054047">
        <w:rPr>
          <w:rFonts w:cstheme="minorHAnsi"/>
          <w:sz w:val="24"/>
          <w:szCs w:val="24"/>
          <w:rtl/>
        </w:rPr>
        <w:t xml:space="preserve">الزراعية </w:t>
      </w:r>
      <w:r w:rsidRPr="00054047">
        <w:rPr>
          <w:rFonts w:cstheme="minorHAnsi"/>
          <w:sz w:val="24"/>
          <w:szCs w:val="24"/>
          <w:rtl/>
        </w:rPr>
        <w:t>أكثر هامشية وخطورة.</w:t>
      </w:r>
    </w:p>
    <w:p w14:paraId="14907725" w14:textId="05378E74" w:rsidR="000C341E" w:rsidRPr="00054047" w:rsidRDefault="000C341E" w:rsidP="00FF62A7">
      <w:pPr>
        <w:bidi/>
        <w:jc w:val="both"/>
        <w:rPr>
          <w:rFonts w:cstheme="minorHAnsi"/>
          <w:sz w:val="24"/>
          <w:szCs w:val="24"/>
          <w:rtl/>
        </w:rPr>
      </w:pPr>
    </w:p>
    <w:p w14:paraId="3F609A9C" w14:textId="548F2425" w:rsidR="000C341E" w:rsidRPr="00054047" w:rsidRDefault="000C341E" w:rsidP="00FF62A7">
      <w:pPr>
        <w:bidi/>
        <w:jc w:val="both"/>
        <w:rPr>
          <w:rFonts w:cstheme="minorHAnsi"/>
          <w:sz w:val="24"/>
          <w:szCs w:val="24"/>
          <w:rtl/>
        </w:rPr>
      </w:pPr>
      <w:r w:rsidRPr="00054047">
        <w:rPr>
          <w:rFonts w:cstheme="minorHAnsi"/>
          <w:sz w:val="24"/>
          <w:szCs w:val="24"/>
          <w:rtl/>
        </w:rPr>
        <w:t xml:space="preserve"> نحن نعول على مجلس </w:t>
      </w:r>
      <w:r w:rsidR="00FF62A7">
        <w:rPr>
          <w:rFonts w:cstheme="minorHAnsi" w:hint="cs"/>
          <w:sz w:val="24"/>
          <w:szCs w:val="24"/>
          <w:rtl/>
        </w:rPr>
        <w:t>ن</w:t>
      </w:r>
      <w:r w:rsidRPr="00054047">
        <w:rPr>
          <w:rFonts w:cstheme="minorHAnsi"/>
          <w:sz w:val="24"/>
          <w:szCs w:val="24"/>
          <w:rtl/>
        </w:rPr>
        <w:t>زاهة سوق الكربون الطوعي (</w:t>
      </w:r>
      <w:r w:rsidRPr="00054047">
        <w:rPr>
          <w:rFonts w:cstheme="minorHAnsi"/>
          <w:sz w:val="24"/>
          <w:szCs w:val="24"/>
        </w:rPr>
        <w:t>ICVCM</w:t>
      </w:r>
      <w:r w:rsidRPr="00054047">
        <w:rPr>
          <w:rFonts w:cstheme="minorHAnsi"/>
          <w:sz w:val="24"/>
          <w:szCs w:val="24"/>
          <w:rtl/>
        </w:rPr>
        <w:t>) لاعتماد نهج وأساليب منهجية منطقية قائمة على نتائج الأبحاث العلمية من أجل تخزين الكربون في المراعي.</w:t>
      </w:r>
    </w:p>
    <w:p w14:paraId="710BEC88" w14:textId="0DA78268" w:rsidR="000C341E" w:rsidRPr="00054047" w:rsidRDefault="000C341E" w:rsidP="00FF62A7">
      <w:pPr>
        <w:bidi/>
        <w:jc w:val="both"/>
        <w:rPr>
          <w:rFonts w:cstheme="minorHAnsi"/>
          <w:sz w:val="24"/>
          <w:szCs w:val="24"/>
          <w:rtl/>
        </w:rPr>
      </w:pPr>
    </w:p>
    <w:p w14:paraId="6E428235" w14:textId="6ED6D3DD" w:rsidR="000C341E" w:rsidRPr="00054047" w:rsidRDefault="000C341E" w:rsidP="00FF62A7">
      <w:pPr>
        <w:bidi/>
        <w:jc w:val="both"/>
        <w:rPr>
          <w:rFonts w:cstheme="minorHAnsi"/>
          <w:sz w:val="24"/>
          <w:szCs w:val="24"/>
          <w:rtl/>
        </w:rPr>
      </w:pPr>
      <w:r w:rsidRPr="00054047">
        <w:rPr>
          <w:rFonts w:cstheme="minorHAnsi"/>
          <w:sz w:val="24"/>
          <w:szCs w:val="24"/>
          <w:rtl/>
        </w:rPr>
        <w:t>نيابة</w:t>
      </w:r>
      <w:r w:rsidR="002F27A9">
        <w:rPr>
          <w:rFonts w:cstheme="minorHAnsi" w:hint="cs"/>
          <w:sz w:val="24"/>
          <w:szCs w:val="24"/>
          <w:rtl/>
        </w:rPr>
        <w:t>ً</w:t>
      </w:r>
      <w:r w:rsidRPr="00054047">
        <w:rPr>
          <w:rFonts w:cstheme="minorHAnsi"/>
          <w:sz w:val="24"/>
          <w:szCs w:val="24"/>
          <w:rtl/>
        </w:rPr>
        <w:t xml:space="preserve"> عن مجموعة التنسيق العالمية للسنة الدولية للمراعي والرعاة (</w:t>
      </w:r>
      <w:r w:rsidRPr="00054047">
        <w:rPr>
          <w:rFonts w:cstheme="minorHAnsi"/>
          <w:sz w:val="24"/>
          <w:szCs w:val="24"/>
        </w:rPr>
        <w:t>IYRP 2026</w:t>
      </w:r>
      <w:r w:rsidRPr="00054047">
        <w:rPr>
          <w:rFonts w:cstheme="minorHAnsi"/>
          <w:sz w:val="24"/>
          <w:szCs w:val="24"/>
          <w:rtl/>
        </w:rPr>
        <w:t>)</w:t>
      </w:r>
    </w:p>
    <w:p w14:paraId="3FFFBFE5" w14:textId="6444D6CF" w:rsidR="000C341E" w:rsidRPr="00054047" w:rsidRDefault="000C341E" w:rsidP="00FF62A7">
      <w:pPr>
        <w:bidi/>
        <w:jc w:val="both"/>
        <w:rPr>
          <w:rFonts w:cstheme="minorHAnsi"/>
          <w:sz w:val="24"/>
          <w:szCs w:val="24"/>
          <w:rtl/>
        </w:rPr>
      </w:pPr>
      <w:r w:rsidRPr="00054047">
        <w:rPr>
          <w:rFonts w:cstheme="minorHAnsi"/>
          <w:sz w:val="24"/>
          <w:szCs w:val="24"/>
          <w:rtl/>
        </w:rPr>
        <w:t xml:space="preserve">الدكتور إغشئان صموئيل والدكتورة مريم نيامير فولر ، الرئيسان المشاركان لـ </w:t>
      </w:r>
      <w:r w:rsidRPr="00054047">
        <w:rPr>
          <w:rFonts w:cstheme="minorHAnsi"/>
          <w:sz w:val="24"/>
          <w:szCs w:val="24"/>
        </w:rPr>
        <w:t>GCG</w:t>
      </w:r>
    </w:p>
    <w:p w14:paraId="38F79A52" w14:textId="2E6F3413" w:rsidR="00753D4E" w:rsidRPr="00054047" w:rsidRDefault="00054047" w:rsidP="00FF62A7">
      <w:pPr>
        <w:bidi/>
        <w:spacing w:after="0" w:line="240" w:lineRule="auto"/>
        <w:jc w:val="both"/>
        <w:rPr>
          <w:rFonts w:cstheme="minorHAnsi"/>
          <w:sz w:val="24"/>
          <w:szCs w:val="24"/>
          <w:rtl/>
        </w:rPr>
      </w:pPr>
      <w:r w:rsidRPr="00054047">
        <w:rPr>
          <w:rFonts w:cstheme="minorHAnsi"/>
          <w:sz w:val="24"/>
          <w:szCs w:val="24"/>
          <w:rtl/>
        </w:rPr>
        <w:t xml:space="preserve">المراجع: </w:t>
      </w:r>
    </w:p>
    <w:p w14:paraId="07409FC1" w14:textId="77777777" w:rsidR="00FF62A7" w:rsidRPr="00FF62A7" w:rsidRDefault="00FF62A7" w:rsidP="00FF62A7">
      <w:pPr>
        <w:spacing w:after="0" w:line="240" w:lineRule="auto"/>
        <w:rPr>
          <w:iCs/>
          <w:u w:val="single"/>
        </w:rPr>
      </w:pPr>
      <w:r w:rsidRPr="00FF62A7">
        <w:rPr>
          <w:iCs/>
        </w:rPr>
        <w:t xml:space="preserve">[1] </w:t>
      </w:r>
      <w:r w:rsidRPr="00FF62A7">
        <w:rPr>
          <w:rStyle w:val="Link"/>
          <w:iCs/>
        </w:rPr>
        <w:t>https://archive.ipcc.ch/ipccreports/sres/land_use/index.php?idp=47</w:t>
      </w:r>
    </w:p>
    <w:p w14:paraId="553D5567" w14:textId="77777777" w:rsidR="00FF62A7" w:rsidRPr="00FF62A7" w:rsidRDefault="00FF62A7" w:rsidP="00FF62A7">
      <w:pPr>
        <w:spacing w:after="0" w:line="240" w:lineRule="auto"/>
        <w:rPr>
          <w:iCs/>
        </w:rPr>
      </w:pPr>
      <w:r w:rsidRPr="00FF62A7">
        <w:rPr>
          <w:iCs/>
        </w:rPr>
        <w:t xml:space="preserve">[2] </w:t>
      </w:r>
      <w:hyperlink r:id="rId6" w:history="1">
        <w:r w:rsidRPr="00FF62A7">
          <w:rPr>
            <w:rStyle w:val="Link"/>
            <w:iCs/>
          </w:rPr>
          <w:t>https://www.science.org/doi/10.1126/science.347.6221.484-c</w:t>
        </w:r>
      </w:hyperlink>
    </w:p>
    <w:p w14:paraId="2D02234A" w14:textId="77777777" w:rsidR="00FF62A7" w:rsidRPr="00FF62A7" w:rsidRDefault="00FF62A7" w:rsidP="00FF62A7">
      <w:pPr>
        <w:spacing w:after="0" w:line="240" w:lineRule="auto"/>
        <w:rPr>
          <w:iCs/>
        </w:rPr>
      </w:pPr>
      <w:r w:rsidRPr="00FF62A7">
        <w:rPr>
          <w:iCs/>
        </w:rPr>
        <w:t xml:space="preserve">[3] </w:t>
      </w:r>
      <w:hyperlink r:id="rId7" w:history="1">
        <w:r w:rsidRPr="00FF62A7">
          <w:rPr>
            <w:rStyle w:val="Link"/>
            <w:iCs/>
          </w:rPr>
          <w:t>https://royalsocietypublishing.org/doi/abs/10.1098/rstb.2021.0391</w:t>
        </w:r>
      </w:hyperlink>
    </w:p>
    <w:p w14:paraId="4610A3AD" w14:textId="77777777" w:rsidR="00FF62A7" w:rsidRPr="00FF62A7" w:rsidRDefault="00FF62A7" w:rsidP="00FF62A7">
      <w:pPr>
        <w:spacing w:after="0" w:line="240" w:lineRule="auto"/>
        <w:rPr>
          <w:iCs/>
        </w:rPr>
      </w:pPr>
      <w:r w:rsidRPr="00FF62A7">
        <w:rPr>
          <w:iCs/>
        </w:rPr>
        <w:t xml:space="preserve">[4] </w:t>
      </w:r>
      <w:hyperlink r:id="rId8" w:history="1">
        <w:r w:rsidRPr="00FF62A7">
          <w:rPr>
            <w:rStyle w:val="Link"/>
            <w:iCs/>
          </w:rPr>
          <w:t>https://www.science.org/doi/full/10.1126/science.aba8232</w:t>
        </w:r>
      </w:hyperlink>
    </w:p>
    <w:p w14:paraId="0763FCDE" w14:textId="77777777" w:rsidR="00FF62A7" w:rsidRPr="00FF62A7" w:rsidRDefault="00FF62A7" w:rsidP="00FF62A7">
      <w:pPr>
        <w:spacing w:after="0" w:line="240" w:lineRule="auto"/>
        <w:rPr>
          <w:iCs/>
        </w:rPr>
      </w:pPr>
      <w:r w:rsidRPr="00FF62A7">
        <w:rPr>
          <w:iCs/>
        </w:rPr>
        <w:t xml:space="preserve">[5] </w:t>
      </w:r>
      <w:hyperlink r:id="rId9" w:history="1">
        <w:r w:rsidRPr="00FF62A7">
          <w:rPr>
            <w:rStyle w:val="Link"/>
            <w:iCs/>
          </w:rPr>
          <w:t>https://www.rangelandsdata.org/atlas/</w:t>
        </w:r>
      </w:hyperlink>
    </w:p>
    <w:p w14:paraId="21E87C09" w14:textId="77777777" w:rsidR="00FF62A7" w:rsidRPr="00FF62A7" w:rsidRDefault="00FF62A7" w:rsidP="00FF62A7">
      <w:pPr>
        <w:spacing w:after="0" w:line="240" w:lineRule="auto"/>
        <w:rPr>
          <w:iCs/>
        </w:rPr>
      </w:pPr>
      <w:r w:rsidRPr="00FF62A7">
        <w:rPr>
          <w:iCs/>
        </w:rPr>
        <w:t xml:space="preserve">[6] </w:t>
      </w:r>
      <w:hyperlink r:id="rId10" w:history="1">
        <w:r w:rsidRPr="00FF62A7">
          <w:rPr>
            <w:rStyle w:val="Link"/>
            <w:iCs/>
          </w:rPr>
          <w:t>https://www.wri.org/research/pilot-analysis-global-ecosystems-grassland-ecosystems</w:t>
        </w:r>
      </w:hyperlink>
    </w:p>
    <w:p w14:paraId="6EEB1F43" w14:textId="77777777" w:rsidR="00FF62A7" w:rsidRPr="00FF62A7" w:rsidRDefault="00FF62A7" w:rsidP="00FF62A7">
      <w:pPr>
        <w:spacing w:after="0" w:line="240" w:lineRule="auto"/>
        <w:rPr>
          <w:iCs/>
        </w:rPr>
      </w:pPr>
      <w:r w:rsidRPr="00FF62A7">
        <w:rPr>
          <w:iCs/>
        </w:rPr>
        <w:t xml:space="preserve">[7] </w:t>
      </w:r>
      <w:hyperlink r:id="rId11" w:history="1">
        <w:r w:rsidRPr="00FF62A7">
          <w:rPr>
            <w:rStyle w:val="Link"/>
            <w:iCs/>
          </w:rPr>
          <w:t>https://www.science.org/doi/10.1126/science.aay8060</w:t>
        </w:r>
      </w:hyperlink>
    </w:p>
    <w:p w14:paraId="4D1B3DCF" w14:textId="77777777" w:rsidR="00FF62A7" w:rsidRPr="00FF62A7" w:rsidRDefault="00FF62A7" w:rsidP="00FF62A7">
      <w:pPr>
        <w:spacing w:after="0" w:line="240" w:lineRule="auto"/>
        <w:rPr>
          <w:iCs/>
        </w:rPr>
      </w:pPr>
      <w:r w:rsidRPr="00FF62A7">
        <w:rPr>
          <w:iCs/>
        </w:rPr>
        <w:t xml:space="preserve">[8] </w:t>
      </w:r>
      <w:hyperlink r:id="rId12" w:history="1">
        <w:r w:rsidRPr="00FF62A7">
          <w:rPr>
            <w:rStyle w:val="Link"/>
            <w:iCs/>
          </w:rPr>
          <w:t>https://www.science.org/doi/10.1126/science.abo2380</w:t>
        </w:r>
      </w:hyperlink>
    </w:p>
    <w:p w14:paraId="291EFA67" w14:textId="77777777" w:rsidR="00FF62A7" w:rsidRPr="00FF62A7" w:rsidRDefault="00FF62A7" w:rsidP="00FF62A7">
      <w:pPr>
        <w:spacing w:after="0" w:line="240" w:lineRule="auto"/>
        <w:rPr>
          <w:iCs/>
        </w:rPr>
      </w:pPr>
      <w:r w:rsidRPr="00FF62A7">
        <w:rPr>
          <w:iCs/>
        </w:rPr>
        <w:t xml:space="preserve">[9] </w:t>
      </w:r>
      <w:hyperlink r:id="rId13" w:history="1">
        <w:r w:rsidRPr="00FF62A7">
          <w:rPr>
            <w:rStyle w:val="Link"/>
            <w:iCs/>
          </w:rPr>
          <w:t>https://iopscience.iop.org/article/10.1088/1748-9326/aacb39/meta</w:t>
        </w:r>
      </w:hyperlink>
    </w:p>
    <w:p w14:paraId="247910D8" w14:textId="77777777" w:rsidR="00FF62A7" w:rsidRPr="00FF62A7" w:rsidRDefault="00FF62A7" w:rsidP="00FF62A7">
      <w:pPr>
        <w:spacing w:after="0" w:line="240" w:lineRule="auto"/>
        <w:rPr>
          <w:iCs/>
        </w:rPr>
      </w:pPr>
      <w:r w:rsidRPr="00FF62A7">
        <w:rPr>
          <w:iCs/>
        </w:rPr>
        <w:t xml:space="preserve">[10] </w:t>
      </w:r>
      <w:hyperlink r:id="rId14" w:history="1">
        <w:r w:rsidRPr="00FF62A7">
          <w:rPr>
            <w:rStyle w:val="Link"/>
            <w:iCs/>
          </w:rPr>
          <w:t>https://www.sciencedirect.com/science/article/pii/S0169534719302526</w:t>
        </w:r>
      </w:hyperlink>
    </w:p>
    <w:p w14:paraId="5387F6A0" w14:textId="77777777" w:rsidR="00FF62A7" w:rsidRPr="00FF62A7" w:rsidRDefault="00FF62A7" w:rsidP="00FF62A7">
      <w:pPr>
        <w:spacing w:after="0" w:line="240" w:lineRule="auto"/>
        <w:rPr>
          <w:iCs/>
        </w:rPr>
      </w:pPr>
      <w:r w:rsidRPr="00FF62A7">
        <w:rPr>
          <w:iCs/>
        </w:rPr>
        <w:t xml:space="preserve">[11] </w:t>
      </w:r>
      <w:hyperlink r:id="rId15" w:history="1">
        <w:r w:rsidRPr="00FF62A7">
          <w:rPr>
            <w:rStyle w:val="Link"/>
            <w:iCs/>
          </w:rPr>
          <w:t>https://www.nature.com/articles/nature00910</w:t>
        </w:r>
      </w:hyperlink>
    </w:p>
    <w:p w14:paraId="220D2EE5" w14:textId="77777777" w:rsidR="00FF62A7" w:rsidRPr="00FF62A7" w:rsidRDefault="00FF62A7" w:rsidP="00FF62A7">
      <w:pPr>
        <w:spacing w:after="0" w:line="240" w:lineRule="auto"/>
        <w:rPr>
          <w:iCs/>
        </w:rPr>
      </w:pPr>
      <w:r w:rsidRPr="00FF62A7">
        <w:rPr>
          <w:iCs/>
        </w:rPr>
        <w:t xml:space="preserve">[12] </w:t>
      </w:r>
      <w:hyperlink r:id="rId16" w:history="1">
        <w:r w:rsidRPr="00FF62A7">
          <w:rPr>
            <w:rStyle w:val="Link"/>
            <w:iCs/>
          </w:rPr>
          <w:t>https://www.nature.com/articles/d41586-019-01026-8</w:t>
        </w:r>
      </w:hyperlink>
    </w:p>
    <w:p w14:paraId="6ECCC7B4" w14:textId="77777777" w:rsidR="00FF62A7" w:rsidRPr="00FF62A7" w:rsidRDefault="00FF62A7" w:rsidP="00FF62A7">
      <w:pPr>
        <w:spacing w:after="0" w:line="240" w:lineRule="auto"/>
        <w:rPr>
          <w:iCs/>
        </w:rPr>
      </w:pPr>
      <w:r w:rsidRPr="00FF62A7">
        <w:rPr>
          <w:iCs/>
        </w:rPr>
        <w:t xml:space="preserve">[13] </w:t>
      </w:r>
      <w:hyperlink r:id="rId17" w:history="1">
        <w:r w:rsidRPr="00FF62A7">
          <w:rPr>
            <w:rStyle w:val="Link"/>
            <w:iCs/>
          </w:rPr>
          <w:t>https://academic.oup.com/bioscience/article/65/10/1011/245863</w:t>
        </w:r>
      </w:hyperlink>
    </w:p>
    <w:p w14:paraId="41162D4A" w14:textId="77777777" w:rsidR="00FF62A7" w:rsidRPr="00FF62A7" w:rsidRDefault="00FF62A7" w:rsidP="00FF62A7">
      <w:pPr>
        <w:spacing w:after="0" w:line="240" w:lineRule="auto"/>
        <w:rPr>
          <w:iCs/>
        </w:rPr>
      </w:pPr>
      <w:r w:rsidRPr="00FF62A7">
        <w:rPr>
          <w:iCs/>
        </w:rPr>
        <w:t xml:space="preserve">[14] </w:t>
      </w:r>
      <w:hyperlink r:id="rId18" w:history="1">
        <w:r w:rsidRPr="00FF62A7">
          <w:rPr>
            <w:rStyle w:val="Link"/>
            <w:iCs/>
          </w:rPr>
          <w:t>https://academic.oup.com/bioscience/article/70/11/947/5903754</w:t>
        </w:r>
      </w:hyperlink>
    </w:p>
    <w:p w14:paraId="0AD4551D" w14:textId="77777777" w:rsidR="00FF62A7" w:rsidRPr="00FF62A7" w:rsidRDefault="00FF62A7" w:rsidP="00FF62A7">
      <w:pPr>
        <w:spacing w:after="0" w:line="240" w:lineRule="auto"/>
        <w:rPr>
          <w:iCs/>
        </w:rPr>
      </w:pPr>
      <w:r w:rsidRPr="00FF62A7">
        <w:rPr>
          <w:iCs/>
        </w:rPr>
        <w:t xml:space="preserve">[15] </w:t>
      </w:r>
      <w:hyperlink r:id="rId19" w:history="1">
        <w:r w:rsidRPr="00FF62A7">
          <w:rPr>
            <w:rStyle w:val="Link"/>
            <w:iCs/>
          </w:rPr>
          <w:t>https://www.sciencedirect.com/science/article/pii/S0959378017311937</w:t>
        </w:r>
      </w:hyperlink>
    </w:p>
    <w:p w14:paraId="1E09D404" w14:textId="1B5E84DC" w:rsidR="00B81636" w:rsidRPr="00FF62A7" w:rsidRDefault="00FF62A7" w:rsidP="00FF62A7">
      <w:pPr>
        <w:spacing w:after="0" w:line="240" w:lineRule="auto"/>
        <w:rPr>
          <w:iCs/>
          <w:highlight w:val="yellow"/>
          <w:rtl/>
        </w:rPr>
      </w:pPr>
      <w:r w:rsidRPr="00FF62A7">
        <w:rPr>
          <w:iCs/>
        </w:rPr>
        <w:t xml:space="preserve">[16] </w:t>
      </w:r>
      <w:hyperlink r:id="rId20" w:history="1">
        <w:r w:rsidRPr="00FF62A7">
          <w:rPr>
            <w:rStyle w:val="Link"/>
            <w:iCs/>
          </w:rPr>
          <w:t>https://pubmed.ncbi.nlm.nih.gov/35926035/</w:t>
        </w:r>
      </w:hyperlink>
    </w:p>
    <w:sectPr w:rsidR="00B81636" w:rsidRPr="00FF6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D4"/>
    <w:rsid w:val="000105C8"/>
    <w:rsid w:val="00017D19"/>
    <w:rsid w:val="00054047"/>
    <w:rsid w:val="000C341E"/>
    <w:rsid w:val="0011444B"/>
    <w:rsid w:val="00256A2F"/>
    <w:rsid w:val="002838A9"/>
    <w:rsid w:val="002F27A9"/>
    <w:rsid w:val="003D6D1C"/>
    <w:rsid w:val="00401E65"/>
    <w:rsid w:val="00412061"/>
    <w:rsid w:val="00447EE3"/>
    <w:rsid w:val="004F5DD4"/>
    <w:rsid w:val="00525720"/>
    <w:rsid w:val="00595808"/>
    <w:rsid w:val="005B245B"/>
    <w:rsid w:val="005E5345"/>
    <w:rsid w:val="006270D6"/>
    <w:rsid w:val="00753D4E"/>
    <w:rsid w:val="00756780"/>
    <w:rsid w:val="007C5431"/>
    <w:rsid w:val="00803B92"/>
    <w:rsid w:val="008F2438"/>
    <w:rsid w:val="00910392"/>
    <w:rsid w:val="00922E7E"/>
    <w:rsid w:val="009E4B0B"/>
    <w:rsid w:val="00AD3577"/>
    <w:rsid w:val="00B45068"/>
    <w:rsid w:val="00B81636"/>
    <w:rsid w:val="00BA1552"/>
    <w:rsid w:val="00BD45DE"/>
    <w:rsid w:val="00C336EB"/>
    <w:rsid w:val="00C87162"/>
    <w:rsid w:val="00CD4D3E"/>
    <w:rsid w:val="00D0601A"/>
    <w:rsid w:val="00E0169B"/>
    <w:rsid w:val="00F904CF"/>
    <w:rsid w:val="00F95D53"/>
    <w:rsid w:val="00FF4502"/>
    <w:rsid w:val="00FF62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37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05404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0540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987">
      <w:bodyDiv w:val="1"/>
      <w:marLeft w:val="0"/>
      <w:marRight w:val="0"/>
      <w:marTop w:val="0"/>
      <w:marBottom w:val="0"/>
      <w:divBdr>
        <w:top w:val="none" w:sz="0" w:space="0" w:color="auto"/>
        <w:left w:val="none" w:sz="0" w:space="0" w:color="auto"/>
        <w:bottom w:val="none" w:sz="0" w:space="0" w:color="auto"/>
        <w:right w:val="none" w:sz="0" w:space="0" w:color="auto"/>
      </w:divBdr>
    </w:div>
    <w:div w:id="222184421">
      <w:bodyDiv w:val="1"/>
      <w:marLeft w:val="0"/>
      <w:marRight w:val="0"/>
      <w:marTop w:val="0"/>
      <w:marBottom w:val="0"/>
      <w:divBdr>
        <w:top w:val="none" w:sz="0" w:space="0" w:color="auto"/>
        <w:left w:val="none" w:sz="0" w:space="0" w:color="auto"/>
        <w:bottom w:val="none" w:sz="0" w:space="0" w:color="auto"/>
        <w:right w:val="none" w:sz="0" w:space="0" w:color="auto"/>
      </w:divBdr>
    </w:div>
    <w:div w:id="234515825">
      <w:bodyDiv w:val="1"/>
      <w:marLeft w:val="0"/>
      <w:marRight w:val="0"/>
      <w:marTop w:val="0"/>
      <w:marBottom w:val="0"/>
      <w:divBdr>
        <w:top w:val="none" w:sz="0" w:space="0" w:color="auto"/>
        <w:left w:val="none" w:sz="0" w:space="0" w:color="auto"/>
        <w:bottom w:val="none" w:sz="0" w:space="0" w:color="auto"/>
        <w:right w:val="none" w:sz="0" w:space="0" w:color="auto"/>
      </w:divBdr>
    </w:div>
    <w:div w:id="444083865">
      <w:bodyDiv w:val="1"/>
      <w:marLeft w:val="0"/>
      <w:marRight w:val="0"/>
      <w:marTop w:val="0"/>
      <w:marBottom w:val="0"/>
      <w:divBdr>
        <w:top w:val="none" w:sz="0" w:space="0" w:color="auto"/>
        <w:left w:val="none" w:sz="0" w:space="0" w:color="auto"/>
        <w:bottom w:val="none" w:sz="0" w:space="0" w:color="auto"/>
        <w:right w:val="none" w:sz="0" w:space="0" w:color="auto"/>
      </w:divBdr>
    </w:div>
    <w:div w:id="856887594">
      <w:bodyDiv w:val="1"/>
      <w:marLeft w:val="0"/>
      <w:marRight w:val="0"/>
      <w:marTop w:val="0"/>
      <w:marBottom w:val="0"/>
      <w:divBdr>
        <w:top w:val="none" w:sz="0" w:space="0" w:color="auto"/>
        <w:left w:val="none" w:sz="0" w:space="0" w:color="auto"/>
        <w:bottom w:val="none" w:sz="0" w:space="0" w:color="auto"/>
        <w:right w:val="none" w:sz="0" w:space="0" w:color="auto"/>
      </w:divBdr>
    </w:div>
    <w:div w:id="1230920258">
      <w:bodyDiv w:val="1"/>
      <w:marLeft w:val="0"/>
      <w:marRight w:val="0"/>
      <w:marTop w:val="0"/>
      <w:marBottom w:val="0"/>
      <w:divBdr>
        <w:top w:val="none" w:sz="0" w:space="0" w:color="auto"/>
        <w:left w:val="none" w:sz="0" w:space="0" w:color="auto"/>
        <w:bottom w:val="none" w:sz="0" w:space="0" w:color="auto"/>
        <w:right w:val="none" w:sz="0" w:space="0" w:color="auto"/>
      </w:divBdr>
    </w:div>
    <w:div w:id="1388723561">
      <w:bodyDiv w:val="1"/>
      <w:marLeft w:val="0"/>
      <w:marRight w:val="0"/>
      <w:marTop w:val="0"/>
      <w:marBottom w:val="0"/>
      <w:divBdr>
        <w:top w:val="none" w:sz="0" w:space="0" w:color="auto"/>
        <w:left w:val="none" w:sz="0" w:space="0" w:color="auto"/>
        <w:bottom w:val="none" w:sz="0" w:space="0" w:color="auto"/>
        <w:right w:val="none" w:sz="0" w:space="0" w:color="auto"/>
      </w:divBdr>
    </w:div>
    <w:div w:id="1423070435">
      <w:bodyDiv w:val="1"/>
      <w:marLeft w:val="0"/>
      <w:marRight w:val="0"/>
      <w:marTop w:val="0"/>
      <w:marBottom w:val="0"/>
      <w:divBdr>
        <w:top w:val="none" w:sz="0" w:space="0" w:color="auto"/>
        <w:left w:val="none" w:sz="0" w:space="0" w:color="auto"/>
        <w:bottom w:val="none" w:sz="0" w:space="0" w:color="auto"/>
        <w:right w:val="none" w:sz="0" w:space="0" w:color="auto"/>
      </w:divBdr>
    </w:div>
    <w:div w:id="14835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rangelandsdata.org/atlas/" TargetMode="External"/><Relationship Id="rId20" Type="http://schemas.openxmlformats.org/officeDocument/2006/relationships/hyperlink" Target="https://pubmed.ncbi.nlm.nih.gov/35926035/"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wri.org/research/pilot-analysis-global-ecosystems-grassland-ecosystems" TargetMode="External"/><Relationship Id="rId11" Type="http://schemas.openxmlformats.org/officeDocument/2006/relationships/hyperlink" Target="https://www.science.org/doi/10.1126/science.aay8060" TargetMode="External"/><Relationship Id="rId12" Type="http://schemas.openxmlformats.org/officeDocument/2006/relationships/hyperlink" Target="https://www.science.org/doi/10.1126/science.abo2380" TargetMode="External"/><Relationship Id="rId13" Type="http://schemas.openxmlformats.org/officeDocument/2006/relationships/hyperlink" Target="https://iopscience.iop.org/article/10.1088/1748-9326/aacb39/meta" TargetMode="External"/><Relationship Id="rId14" Type="http://schemas.openxmlformats.org/officeDocument/2006/relationships/hyperlink" Target="https://www.sciencedirect.com/science/article/pii/S0169534719302526" TargetMode="External"/><Relationship Id="rId15" Type="http://schemas.openxmlformats.org/officeDocument/2006/relationships/hyperlink" Target="https://www.nature.com/articles/nature00910" TargetMode="External"/><Relationship Id="rId16" Type="http://schemas.openxmlformats.org/officeDocument/2006/relationships/hyperlink" Target="https://www.nature.com/articles/d41586-019-01026-8" TargetMode="External"/><Relationship Id="rId17" Type="http://schemas.openxmlformats.org/officeDocument/2006/relationships/hyperlink" Target="https://academic.oup.com/bioscience/article/65/10/1011/245863" TargetMode="External"/><Relationship Id="rId18" Type="http://schemas.openxmlformats.org/officeDocument/2006/relationships/hyperlink" Target="https://academic.oup.com/bioscience/article/70/11/947/5903754" TargetMode="External"/><Relationship Id="rId19" Type="http://schemas.openxmlformats.org/officeDocument/2006/relationships/hyperlink" Target="https://www.sciencedirect.com/science/article/pii/S0959378017311937"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science.org/doi/10.1126/science.347.6221.484-c" TargetMode="External"/><Relationship Id="rId7" Type="http://schemas.openxmlformats.org/officeDocument/2006/relationships/hyperlink" Target="https://royalsocietypublishing.org/doi/abs/10.1098/rstb.2021.0391" TargetMode="External"/><Relationship Id="rId8" Type="http://schemas.openxmlformats.org/officeDocument/2006/relationships/hyperlink" Target="https://www.science.org/doi/full/10.1126/science.aba8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6390</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Louhaichi, Mounir (ICARDA-Tunis)</dc:creator>
  <cp:keywords/>
  <dc:description/>
  <cp:lastModifiedBy>Reviewer</cp:lastModifiedBy>
  <cp:revision>2</cp:revision>
  <dcterms:created xsi:type="dcterms:W3CDTF">2022-10-07T17:44:00Z</dcterms:created>
  <dcterms:modified xsi:type="dcterms:W3CDTF">2022-10-07T17:44:00Z</dcterms:modified>
</cp:coreProperties>
</file>