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AA085" w14:textId="77777777" w:rsidR="005C0756" w:rsidRDefault="005C0756">
      <w:pPr>
        <w:rPr>
          <w:rFonts w:asciiTheme="majorHAnsi" w:hAnsiTheme="majorHAnsi"/>
          <w:b/>
          <w:lang w:val="en-GB"/>
        </w:rPr>
      </w:pPr>
      <w:r>
        <w:rPr>
          <w:rFonts w:asciiTheme="majorHAnsi" w:hAnsiTheme="majorHAnsi"/>
          <w:b/>
          <w:noProof/>
          <w:lang w:val="de-DE" w:eastAsia="de-DE"/>
        </w:rPr>
        <w:drawing>
          <wp:inline distT="0" distB="0" distL="0" distR="0" wp14:anchorId="147B100C" wp14:editId="090CA535">
            <wp:extent cx="5142230" cy="858834"/>
            <wp:effectExtent l="0" t="0" r="0" b="508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ood-Systems-Summit-2021-Banner-1024x171.png"/>
                    <pic:cNvPicPr/>
                  </pic:nvPicPr>
                  <pic:blipFill>
                    <a:blip r:embed="rId8">
                      <a:extLst>
                        <a:ext uri="{28A0092B-C50C-407E-A947-70E740481C1C}">
                          <a14:useLocalDpi xmlns:a14="http://schemas.microsoft.com/office/drawing/2010/main" val="0"/>
                        </a:ext>
                      </a:extLst>
                    </a:blip>
                    <a:stretch>
                      <a:fillRect/>
                    </a:stretch>
                  </pic:blipFill>
                  <pic:spPr>
                    <a:xfrm>
                      <a:off x="0" y="0"/>
                      <a:ext cx="5144667" cy="859241"/>
                    </a:xfrm>
                    <a:prstGeom prst="rect">
                      <a:avLst/>
                    </a:prstGeom>
                  </pic:spPr>
                </pic:pic>
              </a:graphicData>
            </a:graphic>
          </wp:inline>
        </w:drawing>
      </w:r>
    </w:p>
    <w:p w14:paraId="593CB443" w14:textId="58C9DA90" w:rsidR="00E40347" w:rsidRPr="005C0756" w:rsidRDefault="005C0756" w:rsidP="004109E5">
      <w:pPr>
        <w:spacing w:before="240"/>
        <w:jc w:val="center"/>
        <w:rPr>
          <w:rFonts w:asciiTheme="majorHAnsi" w:hAnsiTheme="majorHAnsi"/>
          <w:b/>
          <w:sz w:val="28"/>
          <w:szCs w:val="28"/>
          <w:lang w:val="en-GB"/>
        </w:rPr>
      </w:pPr>
      <w:r w:rsidRPr="005C0756">
        <w:rPr>
          <w:rFonts w:asciiTheme="majorHAnsi" w:hAnsiTheme="majorHAnsi"/>
          <w:b/>
          <w:sz w:val="28"/>
          <w:szCs w:val="28"/>
          <w:lang w:val="en-GB"/>
        </w:rPr>
        <w:t>United Nations Food System</w:t>
      </w:r>
      <w:r w:rsidR="004109E5">
        <w:rPr>
          <w:rFonts w:asciiTheme="majorHAnsi" w:hAnsiTheme="majorHAnsi"/>
          <w:b/>
          <w:sz w:val="28"/>
          <w:szCs w:val="28"/>
          <w:lang w:val="en-GB"/>
        </w:rPr>
        <w:t>s</w:t>
      </w:r>
      <w:r w:rsidRPr="005C0756">
        <w:rPr>
          <w:rFonts w:asciiTheme="majorHAnsi" w:hAnsiTheme="majorHAnsi"/>
          <w:b/>
          <w:sz w:val="28"/>
          <w:szCs w:val="28"/>
          <w:lang w:val="en-GB"/>
        </w:rPr>
        <w:t xml:space="preserve"> Summit </w:t>
      </w:r>
      <w:r w:rsidR="004109E5">
        <w:rPr>
          <w:rFonts w:asciiTheme="majorHAnsi" w:hAnsiTheme="majorHAnsi"/>
          <w:b/>
          <w:sz w:val="28"/>
          <w:szCs w:val="28"/>
          <w:lang w:val="en-GB"/>
        </w:rPr>
        <w:t xml:space="preserve">(UNFSS) </w:t>
      </w:r>
      <w:r w:rsidRPr="005C0756">
        <w:rPr>
          <w:rFonts w:asciiTheme="majorHAnsi" w:hAnsiTheme="majorHAnsi"/>
          <w:b/>
          <w:sz w:val="28"/>
          <w:szCs w:val="28"/>
          <w:lang w:val="en-GB"/>
        </w:rPr>
        <w:t>and the IYRP</w:t>
      </w:r>
    </w:p>
    <w:p w14:paraId="07312E39" w14:textId="6B961DE5" w:rsidR="00F4554A" w:rsidRPr="005C0756" w:rsidRDefault="00F4554A" w:rsidP="004109E5">
      <w:pPr>
        <w:spacing w:before="200"/>
        <w:rPr>
          <w:rFonts w:asciiTheme="majorHAnsi" w:hAnsiTheme="majorHAnsi"/>
          <w:sz w:val="22"/>
          <w:szCs w:val="22"/>
          <w:lang w:val="en-GB"/>
        </w:rPr>
      </w:pPr>
      <w:r w:rsidRPr="005C0756">
        <w:rPr>
          <w:rFonts w:asciiTheme="majorHAnsi" w:hAnsiTheme="majorHAnsi"/>
          <w:sz w:val="22"/>
          <w:szCs w:val="22"/>
          <w:lang w:val="en-GB"/>
        </w:rPr>
        <w:t xml:space="preserve">In </w:t>
      </w:r>
      <w:r w:rsidR="00F51FC4">
        <w:rPr>
          <w:rFonts w:asciiTheme="majorHAnsi" w:hAnsiTheme="majorHAnsi"/>
          <w:sz w:val="22"/>
          <w:szCs w:val="22"/>
          <w:lang w:val="en-GB"/>
        </w:rPr>
        <w:t xml:space="preserve">late </w:t>
      </w:r>
      <w:r w:rsidRPr="005C0756">
        <w:rPr>
          <w:rFonts w:asciiTheme="majorHAnsi" w:hAnsiTheme="majorHAnsi"/>
          <w:sz w:val="22"/>
          <w:szCs w:val="22"/>
          <w:lang w:val="en-GB"/>
        </w:rPr>
        <w:t xml:space="preserve">2021, UN Secretary-General </w:t>
      </w:r>
      <w:proofErr w:type="spellStart"/>
      <w:r w:rsidRPr="005C0756">
        <w:rPr>
          <w:rFonts w:asciiTheme="majorHAnsi" w:hAnsiTheme="majorHAnsi"/>
          <w:sz w:val="22"/>
          <w:szCs w:val="22"/>
          <w:lang w:val="en-GB"/>
        </w:rPr>
        <w:t>António</w:t>
      </w:r>
      <w:proofErr w:type="spellEnd"/>
      <w:r w:rsidRPr="005C0756">
        <w:rPr>
          <w:rFonts w:asciiTheme="majorHAnsi" w:hAnsiTheme="majorHAnsi"/>
          <w:sz w:val="22"/>
          <w:szCs w:val="22"/>
          <w:lang w:val="en-GB"/>
        </w:rPr>
        <w:t xml:space="preserve"> </w:t>
      </w:r>
      <w:proofErr w:type="spellStart"/>
      <w:r w:rsidRPr="005C0756">
        <w:rPr>
          <w:rFonts w:asciiTheme="majorHAnsi" w:hAnsiTheme="majorHAnsi"/>
          <w:sz w:val="22"/>
          <w:szCs w:val="22"/>
          <w:lang w:val="en-GB"/>
        </w:rPr>
        <w:t>Guterres</w:t>
      </w:r>
      <w:proofErr w:type="spellEnd"/>
      <w:r w:rsidRPr="005C0756">
        <w:rPr>
          <w:rFonts w:asciiTheme="majorHAnsi" w:hAnsiTheme="majorHAnsi"/>
          <w:sz w:val="22"/>
          <w:szCs w:val="22"/>
          <w:lang w:val="en-GB"/>
        </w:rPr>
        <w:t xml:space="preserve"> will convene a Food Systems Summit as part of the Decade of Action to achieve the Sustainable Development Goals (SDGs) by 2030. Presidents, Prime Ministers and other Heads of State are expected to attend the Summit, with the aim of agreeing to and launching bold new actions to deliver progress on all 17 SDGs, each of which relies to some degree on </w:t>
      </w:r>
      <w:r w:rsidRPr="005C0756">
        <w:rPr>
          <w:rFonts w:asciiTheme="majorHAnsi" w:hAnsiTheme="majorHAnsi"/>
          <w:b/>
          <w:sz w:val="22"/>
          <w:szCs w:val="22"/>
          <w:lang w:val="en-GB"/>
        </w:rPr>
        <w:t>healthier</w:t>
      </w:r>
      <w:r w:rsidRPr="005C0756">
        <w:rPr>
          <w:rFonts w:asciiTheme="majorHAnsi" w:hAnsiTheme="majorHAnsi"/>
          <w:sz w:val="22"/>
          <w:szCs w:val="22"/>
          <w:lang w:val="en-GB"/>
        </w:rPr>
        <w:t xml:space="preserve">, more </w:t>
      </w:r>
      <w:r w:rsidRPr="005C0756">
        <w:rPr>
          <w:rFonts w:asciiTheme="majorHAnsi" w:hAnsiTheme="majorHAnsi"/>
          <w:b/>
          <w:sz w:val="22"/>
          <w:szCs w:val="22"/>
          <w:lang w:val="en-GB"/>
        </w:rPr>
        <w:t>sustainable</w:t>
      </w:r>
      <w:r w:rsidRPr="005C0756">
        <w:rPr>
          <w:rFonts w:asciiTheme="majorHAnsi" w:hAnsiTheme="majorHAnsi"/>
          <w:sz w:val="22"/>
          <w:szCs w:val="22"/>
          <w:lang w:val="en-GB"/>
        </w:rPr>
        <w:t xml:space="preserve"> and </w:t>
      </w:r>
      <w:r w:rsidRPr="005C0756">
        <w:rPr>
          <w:rFonts w:asciiTheme="majorHAnsi" w:hAnsiTheme="majorHAnsi"/>
          <w:b/>
          <w:sz w:val="22"/>
          <w:szCs w:val="22"/>
          <w:lang w:val="en-GB"/>
        </w:rPr>
        <w:t>equitable</w:t>
      </w:r>
      <w:r w:rsidRPr="005C0756">
        <w:rPr>
          <w:rFonts w:asciiTheme="majorHAnsi" w:hAnsiTheme="majorHAnsi"/>
          <w:sz w:val="22"/>
          <w:szCs w:val="22"/>
          <w:lang w:val="en-GB"/>
        </w:rPr>
        <w:t xml:space="preserve"> food systems.</w:t>
      </w:r>
    </w:p>
    <w:p w14:paraId="04C6E354" w14:textId="1587B8B2" w:rsidR="00F4554A" w:rsidRPr="005C0756" w:rsidRDefault="00F4554A" w:rsidP="002323DF">
      <w:pPr>
        <w:spacing w:before="120"/>
        <w:rPr>
          <w:rFonts w:asciiTheme="majorHAnsi" w:hAnsiTheme="majorHAnsi"/>
          <w:sz w:val="22"/>
          <w:szCs w:val="22"/>
          <w:lang w:val="en-GB"/>
        </w:rPr>
      </w:pPr>
      <w:r w:rsidRPr="005C0756">
        <w:rPr>
          <w:rFonts w:asciiTheme="majorHAnsi" w:hAnsiTheme="majorHAnsi"/>
          <w:sz w:val="22"/>
          <w:szCs w:val="22"/>
          <w:lang w:val="en-GB"/>
        </w:rPr>
        <w:t xml:space="preserve">The Summit is intended to move away from </w:t>
      </w:r>
      <w:r w:rsidR="009127AD">
        <w:rPr>
          <w:rFonts w:asciiTheme="majorHAnsi" w:hAnsiTheme="majorHAnsi"/>
          <w:sz w:val="22"/>
          <w:szCs w:val="22"/>
          <w:lang w:val="en-GB"/>
        </w:rPr>
        <w:t>looking only at food production</w:t>
      </w:r>
      <w:r w:rsidRPr="005C0756">
        <w:rPr>
          <w:rFonts w:asciiTheme="majorHAnsi" w:hAnsiTheme="majorHAnsi"/>
          <w:sz w:val="22"/>
          <w:szCs w:val="22"/>
          <w:lang w:val="en-GB"/>
        </w:rPr>
        <w:t xml:space="preserve"> to a more integrated view that also includes food consumption, processing and distribution, food marketing and trade, impacts on the environment, and fairness to small and large farmers alike. The assumption is that the way toward sustainability in the food system in the wo</w:t>
      </w:r>
      <w:r w:rsidR="009127AD">
        <w:rPr>
          <w:rFonts w:asciiTheme="majorHAnsi" w:hAnsiTheme="majorHAnsi"/>
          <w:sz w:val="22"/>
          <w:szCs w:val="22"/>
          <w:lang w:val="en-GB"/>
        </w:rPr>
        <w:t xml:space="preserve">rld is to look at the full life </w:t>
      </w:r>
      <w:r w:rsidRPr="005C0756">
        <w:rPr>
          <w:rFonts w:asciiTheme="majorHAnsi" w:hAnsiTheme="majorHAnsi"/>
          <w:sz w:val="22"/>
          <w:szCs w:val="22"/>
          <w:lang w:val="en-GB"/>
        </w:rPr>
        <w:t>cycle</w:t>
      </w:r>
      <w:r w:rsidR="009127AD">
        <w:rPr>
          <w:rFonts w:asciiTheme="majorHAnsi" w:hAnsiTheme="majorHAnsi"/>
          <w:sz w:val="22"/>
          <w:szCs w:val="22"/>
          <w:lang w:val="en-GB"/>
        </w:rPr>
        <w:t xml:space="preserve"> of food</w:t>
      </w:r>
      <w:r w:rsidRPr="005C0756">
        <w:rPr>
          <w:rFonts w:asciiTheme="majorHAnsi" w:hAnsiTheme="majorHAnsi"/>
          <w:sz w:val="22"/>
          <w:szCs w:val="22"/>
          <w:lang w:val="en-GB"/>
        </w:rPr>
        <w:t xml:space="preserve">, innovative opportunities and root causes of challenges we face. </w:t>
      </w:r>
    </w:p>
    <w:p w14:paraId="5D0BBDD8" w14:textId="1FD192F4" w:rsidR="00F4554A" w:rsidRPr="005C0756" w:rsidRDefault="00F4554A" w:rsidP="002323DF">
      <w:pPr>
        <w:spacing w:before="120"/>
        <w:rPr>
          <w:rFonts w:asciiTheme="majorHAnsi" w:hAnsiTheme="majorHAnsi"/>
          <w:sz w:val="22"/>
          <w:szCs w:val="22"/>
          <w:lang w:val="en-GB"/>
        </w:rPr>
      </w:pPr>
      <w:r w:rsidRPr="005C0756">
        <w:rPr>
          <w:rFonts w:asciiTheme="majorHAnsi" w:hAnsiTheme="majorHAnsi"/>
          <w:sz w:val="22"/>
          <w:szCs w:val="22"/>
          <w:lang w:val="en-GB"/>
        </w:rPr>
        <w:t xml:space="preserve">The process leading up to the Summit is intended to be participatory and involve multiple stakeholders. It </w:t>
      </w:r>
      <w:r w:rsidR="00F51FC4">
        <w:rPr>
          <w:rFonts w:asciiTheme="majorHAnsi" w:hAnsiTheme="majorHAnsi"/>
          <w:sz w:val="22"/>
          <w:szCs w:val="22"/>
          <w:lang w:val="en-GB"/>
        </w:rPr>
        <w:t>seeks to</w:t>
      </w:r>
      <w:r w:rsidRPr="005C0756">
        <w:rPr>
          <w:rFonts w:asciiTheme="majorHAnsi" w:hAnsiTheme="majorHAnsi"/>
          <w:sz w:val="22"/>
          <w:szCs w:val="22"/>
          <w:lang w:val="en-GB"/>
        </w:rPr>
        <w:t xml:space="preserve"> generate innovative solutions and raise awareness. </w:t>
      </w:r>
    </w:p>
    <w:p w14:paraId="267EE761" w14:textId="3339E3BD" w:rsidR="00F4554A" w:rsidRPr="005C0756" w:rsidRDefault="00F4554A" w:rsidP="005704AB">
      <w:pPr>
        <w:spacing w:before="120"/>
        <w:rPr>
          <w:rFonts w:asciiTheme="majorHAnsi" w:hAnsiTheme="majorHAnsi"/>
          <w:sz w:val="22"/>
          <w:szCs w:val="22"/>
          <w:lang w:val="en-GB"/>
        </w:rPr>
      </w:pPr>
      <w:r w:rsidRPr="005C0756">
        <w:rPr>
          <w:rFonts w:asciiTheme="majorHAnsi" w:hAnsiTheme="majorHAnsi"/>
          <w:sz w:val="22"/>
          <w:szCs w:val="22"/>
          <w:lang w:val="en-GB"/>
        </w:rPr>
        <w:t xml:space="preserve">There are </w:t>
      </w:r>
      <w:r w:rsidR="00922610" w:rsidRPr="005C0756">
        <w:rPr>
          <w:rFonts w:asciiTheme="majorHAnsi" w:hAnsiTheme="majorHAnsi"/>
          <w:sz w:val="22"/>
          <w:szCs w:val="22"/>
          <w:lang w:val="en-GB"/>
        </w:rPr>
        <w:t>five</w:t>
      </w:r>
      <w:r w:rsidR="00267397" w:rsidRPr="005C0756">
        <w:rPr>
          <w:rFonts w:asciiTheme="majorHAnsi" w:hAnsiTheme="majorHAnsi"/>
          <w:sz w:val="22"/>
          <w:szCs w:val="22"/>
          <w:lang w:val="en-GB"/>
        </w:rPr>
        <w:t xml:space="preserve"> </w:t>
      </w:r>
      <w:hyperlink r:id="rId9" w:history="1">
        <w:r w:rsidR="00267397" w:rsidRPr="00F51FC4">
          <w:rPr>
            <w:rStyle w:val="Link"/>
            <w:rFonts w:asciiTheme="majorHAnsi" w:hAnsiTheme="majorHAnsi"/>
            <w:b/>
            <w:i/>
            <w:sz w:val="22"/>
            <w:szCs w:val="22"/>
            <w:lang w:val="en-GB"/>
          </w:rPr>
          <w:t>Action Tracks</w:t>
        </w:r>
      </w:hyperlink>
      <w:r w:rsidR="00267397" w:rsidRPr="005C0756">
        <w:rPr>
          <w:rFonts w:asciiTheme="majorHAnsi" w:hAnsiTheme="majorHAnsi"/>
          <w:sz w:val="22"/>
          <w:szCs w:val="22"/>
          <w:lang w:val="en-GB"/>
        </w:rPr>
        <w:t xml:space="preserve"> (AT</w:t>
      </w:r>
      <w:r w:rsidR="002323DF" w:rsidRPr="005C0756">
        <w:rPr>
          <w:rFonts w:asciiTheme="majorHAnsi" w:hAnsiTheme="majorHAnsi"/>
          <w:sz w:val="22"/>
          <w:szCs w:val="22"/>
          <w:lang w:val="en-GB"/>
        </w:rPr>
        <w:t>s</w:t>
      </w:r>
      <w:r w:rsidR="00267397" w:rsidRPr="005C0756">
        <w:rPr>
          <w:rFonts w:asciiTheme="majorHAnsi" w:hAnsiTheme="majorHAnsi"/>
          <w:sz w:val="22"/>
          <w:szCs w:val="22"/>
          <w:lang w:val="en-GB"/>
        </w:rPr>
        <w:t>) and over 22</w:t>
      </w:r>
      <w:r w:rsidRPr="005C0756">
        <w:rPr>
          <w:rFonts w:asciiTheme="majorHAnsi" w:hAnsiTheme="majorHAnsi"/>
          <w:sz w:val="22"/>
          <w:szCs w:val="22"/>
          <w:lang w:val="en-GB"/>
        </w:rPr>
        <w:t xml:space="preserve">00 solutions have been proposed for them. The solutions, called “Game Changing </w:t>
      </w:r>
      <w:r w:rsidR="00267397" w:rsidRPr="005C0756">
        <w:rPr>
          <w:rFonts w:asciiTheme="majorHAnsi" w:hAnsiTheme="majorHAnsi"/>
          <w:sz w:val="22"/>
          <w:szCs w:val="22"/>
          <w:lang w:val="en-GB"/>
        </w:rPr>
        <w:t xml:space="preserve">Ideas” have been grouped into 15 </w:t>
      </w:r>
      <w:r w:rsidR="00267397" w:rsidRPr="00F51FC4">
        <w:rPr>
          <w:rFonts w:asciiTheme="majorHAnsi" w:hAnsiTheme="majorHAnsi"/>
          <w:sz w:val="22"/>
          <w:szCs w:val="22"/>
          <w:lang w:val="en-GB"/>
        </w:rPr>
        <w:t>Action Areas</w:t>
      </w:r>
      <w:r w:rsidR="00267397" w:rsidRPr="005C0756">
        <w:rPr>
          <w:rFonts w:asciiTheme="majorHAnsi" w:hAnsiTheme="majorHAnsi"/>
          <w:sz w:val="22"/>
          <w:szCs w:val="22"/>
          <w:lang w:val="en-GB"/>
        </w:rPr>
        <w:t xml:space="preserve"> (about 3 per AT) and</w:t>
      </w:r>
      <w:r w:rsidRPr="005C0756">
        <w:rPr>
          <w:rFonts w:asciiTheme="majorHAnsi" w:hAnsiTheme="majorHAnsi"/>
          <w:sz w:val="22"/>
          <w:szCs w:val="22"/>
          <w:lang w:val="en-GB"/>
        </w:rPr>
        <w:t xml:space="preserve"> </w:t>
      </w:r>
      <w:r w:rsidR="00267397" w:rsidRPr="005C0756">
        <w:rPr>
          <w:rFonts w:asciiTheme="majorHAnsi" w:hAnsiTheme="majorHAnsi"/>
          <w:sz w:val="22"/>
          <w:szCs w:val="22"/>
          <w:lang w:val="en-GB"/>
        </w:rPr>
        <w:t>each Action Area has 10</w:t>
      </w:r>
      <w:r w:rsidR="00922610" w:rsidRPr="005C0756">
        <w:rPr>
          <w:rFonts w:asciiTheme="majorHAnsi" w:hAnsiTheme="majorHAnsi"/>
          <w:sz w:val="22"/>
          <w:szCs w:val="22"/>
          <w:lang w:val="en-GB"/>
        </w:rPr>
        <w:t>–</w:t>
      </w:r>
      <w:r w:rsidR="00267397" w:rsidRPr="005C0756">
        <w:rPr>
          <w:rFonts w:asciiTheme="majorHAnsi" w:hAnsiTheme="majorHAnsi"/>
          <w:sz w:val="22"/>
          <w:szCs w:val="22"/>
          <w:lang w:val="en-GB"/>
        </w:rPr>
        <w:t>11 Solution Clusters</w:t>
      </w:r>
      <w:r w:rsidRPr="005C0756">
        <w:rPr>
          <w:rFonts w:asciiTheme="majorHAnsi" w:hAnsiTheme="majorHAnsi"/>
          <w:sz w:val="22"/>
          <w:szCs w:val="22"/>
          <w:lang w:val="en-GB"/>
        </w:rPr>
        <w:t xml:space="preserve">. </w:t>
      </w:r>
    </w:p>
    <w:p w14:paraId="6D7F3AE5" w14:textId="7DE312D6" w:rsidR="00267397" w:rsidRPr="005C0756" w:rsidRDefault="002323DF" w:rsidP="005704AB">
      <w:pPr>
        <w:spacing w:before="120"/>
        <w:rPr>
          <w:rFonts w:asciiTheme="majorHAnsi" w:hAnsiTheme="majorHAnsi"/>
          <w:sz w:val="22"/>
          <w:szCs w:val="22"/>
          <w:lang w:val="en-GB"/>
        </w:rPr>
      </w:pPr>
      <w:r w:rsidRPr="005C0756">
        <w:rPr>
          <w:rFonts w:asciiTheme="majorHAnsi" w:hAnsiTheme="majorHAnsi"/>
          <w:noProof/>
          <w:sz w:val="22"/>
          <w:szCs w:val="22"/>
          <w:lang w:val="en-GB" w:eastAsia="de-DE"/>
        </w:rPr>
        <mc:AlternateContent>
          <mc:Choice Requires="wps">
            <w:drawing>
              <wp:anchor distT="0" distB="0" distL="114300" distR="114300" simplePos="0" relativeHeight="251659264" behindDoc="0" locked="0" layoutInCell="1" allowOverlap="1" wp14:anchorId="77EE601F" wp14:editId="749A26A7">
                <wp:simplePos x="0" y="0"/>
                <wp:positionH relativeFrom="column">
                  <wp:posOffset>3429000</wp:posOffset>
                </wp:positionH>
                <wp:positionV relativeFrom="paragraph">
                  <wp:posOffset>59055</wp:posOffset>
                </wp:positionV>
                <wp:extent cx="2286000" cy="1664335"/>
                <wp:effectExtent l="0" t="0" r="25400" b="37465"/>
                <wp:wrapTight wrapText="bothSides">
                  <wp:wrapPolygon edited="0">
                    <wp:start x="0" y="0"/>
                    <wp:lineTo x="0" y="21757"/>
                    <wp:lineTo x="21600" y="21757"/>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286000" cy="1664335"/>
                        </a:xfrm>
                        <a:prstGeom prst="rect">
                          <a:avLst/>
                        </a:prstGeom>
                        <a:noFill/>
                        <a:ln>
                          <a:solidFill>
                            <a:schemeClr val="accent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F0AA06" w14:textId="77777777" w:rsidR="005C0756" w:rsidRPr="004109E5" w:rsidRDefault="005C0756" w:rsidP="005662E7">
                            <w:pPr>
                              <w:spacing w:after="60"/>
                              <w:rPr>
                                <w:rFonts w:asciiTheme="majorHAnsi" w:hAnsiTheme="majorHAnsi"/>
                                <w:b/>
                                <w:color w:val="4F81BD" w:themeColor="accent1"/>
                                <w:sz w:val="21"/>
                                <w:szCs w:val="21"/>
                              </w:rPr>
                            </w:pPr>
                            <w:r w:rsidRPr="004109E5">
                              <w:rPr>
                                <w:rFonts w:asciiTheme="majorHAnsi" w:hAnsiTheme="majorHAnsi"/>
                                <w:b/>
                                <w:color w:val="4F81BD" w:themeColor="accent1"/>
                                <w:sz w:val="21"/>
                                <w:szCs w:val="21"/>
                              </w:rPr>
                              <w:t>UNFSS Action Tracks</w:t>
                            </w:r>
                          </w:p>
                          <w:p w14:paraId="3CB785B1"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Ensure access to safe and nutritious food for all</w:t>
                            </w:r>
                          </w:p>
                          <w:p w14:paraId="6790A526"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Shift to sustainable consumption patterns</w:t>
                            </w:r>
                          </w:p>
                          <w:p w14:paraId="331C9871"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Boost nature-positive production</w:t>
                            </w:r>
                          </w:p>
                          <w:p w14:paraId="6B1107A2"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Advance equitable livelihoods</w:t>
                            </w:r>
                          </w:p>
                          <w:p w14:paraId="075EB0DD"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Build resilience to vulnerabilities, shock and stress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70pt;margin-top:4.65pt;width:180pt;height:1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" filled="f" strokecolor="#4f81bd [3204]">
                <v:textbox>
                  <w:txbxContent>
                    <w:p w14:paraId="45F0AA06" w14:textId="77777777" w:rsidR="005C0756" w:rsidRPr="004109E5" w:rsidRDefault="005C0756" w:rsidP="005662E7">
                      <w:pPr>
                        <w:spacing w:after="60"/>
                        <w:rPr>
                          <w:rFonts w:asciiTheme="majorHAnsi" w:hAnsiTheme="majorHAnsi"/>
                          <w:b/>
                          <w:color w:val="4F81BD" w:themeColor="accent1"/>
                          <w:sz w:val="21"/>
                          <w:szCs w:val="21"/>
                        </w:rPr>
                      </w:pPr>
                      <w:r w:rsidRPr="004109E5">
                        <w:rPr>
                          <w:rFonts w:asciiTheme="majorHAnsi" w:hAnsiTheme="majorHAnsi"/>
                          <w:b/>
                          <w:color w:val="4F81BD" w:themeColor="accent1"/>
                          <w:sz w:val="21"/>
                          <w:szCs w:val="21"/>
                        </w:rPr>
                        <w:t>UNFSS Action Tracks</w:t>
                      </w:r>
                    </w:p>
                    <w:p w14:paraId="3CB785B1"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Ensure access to safe and nutritious food for all</w:t>
                      </w:r>
                    </w:p>
                    <w:p w14:paraId="6790A526"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Shift to sustainable consumption patterns</w:t>
                      </w:r>
                    </w:p>
                    <w:p w14:paraId="331C9871"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Boost nature-positive production</w:t>
                      </w:r>
                    </w:p>
                    <w:p w14:paraId="6B1107A2"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Advance equitable livelihoods</w:t>
                      </w:r>
                    </w:p>
                    <w:p w14:paraId="075EB0DD" w14:textId="77777777" w:rsidR="005C0756" w:rsidRPr="004109E5" w:rsidRDefault="005C0756" w:rsidP="00F4554A">
                      <w:pPr>
                        <w:pStyle w:val="Listenabsatz"/>
                        <w:numPr>
                          <w:ilvl w:val="0"/>
                          <w:numId w:val="1"/>
                        </w:numPr>
                        <w:rPr>
                          <w:rFonts w:asciiTheme="majorHAnsi" w:hAnsiTheme="majorHAnsi"/>
                          <w:sz w:val="21"/>
                          <w:szCs w:val="21"/>
                        </w:rPr>
                      </w:pPr>
                      <w:r w:rsidRPr="004109E5">
                        <w:rPr>
                          <w:rFonts w:asciiTheme="majorHAnsi" w:hAnsiTheme="majorHAnsi"/>
                          <w:sz w:val="21"/>
                          <w:szCs w:val="21"/>
                        </w:rPr>
                        <w:t>Build resilience to vulnerabilities, shock and stress</w:t>
                      </w:r>
                    </w:p>
                  </w:txbxContent>
                </v:textbox>
                <w10:wrap type="tight"/>
              </v:shape>
            </w:pict>
          </mc:Fallback>
        </mc:AlternateContent>
      </w:r>
      <w:r w:rsidR="00267397" w:rsidRPr="005C0756">
        <w:rPr>
          <w:rFonts w:asciiTheme="majorHAnsi" w:hAnsiTheme="majorHAnsi"/>
          <w:sz w:val="22"/>
          <w:szCs w:val="22"/>
          <w:lang w:val="en-GB"/>
        </w:rPr>
        <w:t xml:space="preserve">A coalition of IYRP </w:t>
      </w:r>
      <w:r w:rsidR="00922610" w:rsidRPr="005C0756">
        <w:rPr>
          <w:rFonts w:asciiTheme="majorHAnsi" w:hAnsiTheme="majorHAnsi"/>
          <w:sz w:val="22"/>
          <w:szCs w:val="22"/>
          <w:lang w:val="en-GB"/>
        </w:rPr>
        <w:t>s</w:t>
      </w:r>
      <w:r w:rsidR="00267397" w:rsidRPr="005C0756">
        <w:rPr>
          <w:rFonts w:asciiTheme="majorHAnsi" w:hAnsiTheme="majorHAnsi"/>
          <w:sz w:val="22"/>
          <w:szCs w:val="22"/>
          <w:lang w:val="en-GB"/>
        </w:rPr>
        <w:t xml:space="preserve">upporting </w:t>
      </w:r>
      <w:r w:rsidR="00922610" w:rsidRPr="005C0756">
        <w:rPr>
          <w:rFonts w:asciiTheme="majorHAnsi" w:hAnsiTheme="majorHAnsi"/>
          <w:sz w:val="22"/>
          <w:szCs w:val="22"/>
          <w:lang w:val="en-GB"/>
        </w:rPr>
        <w:t>o</w:t>
      </w:r>
      <w:r w:rsidR="00267397" w:rsidRPr="005C0756">
        <w:rPr>
          <w:rFonts w:asciiTheme="majorHAnsi" w:hAnsiTheme="majorHAnsi"/>
          <w:sz w:val="22"/>
          <w:szCs w:val="22"/>
          <w:lang w:val="en-GB"/>
        </w:rPr>
        <w:t>rgani</w:t>
      </w:r>
      <w:r w:rsidR="0025701C" w:rsidRPr="005C0756">
        <w:rPr>
          <w:rFonts w:asciiTheme="majorHAnsi" w:hAnsiTheme="majorHAnsi"/>
          <w:sz w:val="22"/>
          <w:szCs w:val="22"/>
          <w:lang w:val="en-GB"/>
        </w:rPr>
        <w:t>s</w:t>
      </w:r>
      <w:r w:rsidR="00267397" w:rsidRPr="005C0756">
        <w:rPr>
          <w:rFonts w:asciiTheme="majorHAnsi" w:hAnsiTheme="majorHAnsi"/>
          <w:sz w:val="22"/>
          <w:szCs w:val="22"/>
          <w:lang w:val="en-GB"/>
        </w:rPr>
        <w:t xml:space="preserve">ations submitted one Game Changing Idea called </w:t>
      </w:r>
      <w:r w:rsidR="00267397" w:rsidRPr="005C0756">
        <w:rPr>
          <w:rFonts w:asciiTheme="majorHAnsi" w:hAnsiTheme="majorHAnsi"/>
          <w:i/>
          <w:color w:val="800000"/>
          <w:sz w:val="22"/>
          <w:szCs w:val="22"/>
          <w:lang w:val="en-GB"/>
        </w:rPr>
        <w:t>“</w:t>
      </w:r>
      <w:hyperlink r:id="rId10" w:history="1">
        <w:r w:rsidR="00922610" w:rsidRPr="004109E5">
          <w:rPr>
            <w:rStyle w:val="Link"/>
            <w:rFonts w:asciiTheme="majorHAnsi" w:hAnsiTheme="majorHAnsi"/>
            <w:b/>
            <w:i/>
            <w:sz w:val="22"/>
            <w:szCs w:val="22"/>
            <w:lang w:val="en-GB"/>
          </w:rPr>
          <w:t>Valuing rangeland v</w:t>
        </w:r>
        <w:r w:rsidR="00267397" w:rsidRPr="004109E5">
          <w:rPr>
            <w:rStyle w:val="Link"/>
            <w:rFonts w:asciiTheme="majorHAnsi" w:hAnsiTheme="majorHAnsi"/>
            <w:b/>
            <w:i/>
            <w:sz w:val="22"/>
            <w:szCs w:val="22"/>
            <w:lang w:val="en-GB"/>
          </w:rPr>
          <w:t>ariability: a global initiative for mobile pastoralism</w:t>
        </w:r>
      </w:hyperlink>
      <w:r w:rsidR="00267397" w:rsidRPr="005C0756">
        <w:rPr>
          <w:rFonts w:asciiTheme="majorHAnsi" w:hAnsiTheme="majorHAnsi"/>
          <w:i/>
          <w:color w:val="800000"/>
          <w:sz w:val="22"/>
          <w:szCs w:val="22"/>
          <w:lang w:val="en-GB"/>
        </w:rPr>
        <w:t>”,</w:t>
      </w:r>
      <w:r w:rsidR="00267397" w:rsidRPr="005C0756">
        <w:rPr>
          <w:rFonts w:asciiTheme="majorHAnsi" w:hAnsiTheme="majorHAnsi"/>
          <w:sz w:val="22"/>
          <w:szCs w:val="22"/>
          <w:lang w:val="en-GB"/>
        </w:rPr>
        <w:t xml:space="preserve"> which has been placed in the Action Track 5, Action Area 3, Cluster on Climate Adaptation, Miti</w:t>
      </w:r>
      <w:r w:rsidR="00682FD4" w:rsidRPr="005C0756">
        <w:rPr>
          <w:rFonts w:asciiTheme="majorHAnsi" w:hAnsiTheme="majorHAnsi"/>
          <w:sz w:val="22"/>
          <w:szCs w:val="22"/>
          <w:lang w:val="en-GB"/>
        </w:rPr>
        <w:t>gation and Resilience (5.3.1). However, t</w:t>
      </w:r>
      <w:r w:rsidR="00267397" w:rsidRPr="005C0756">
        <w:rPr>
          <w:rFonts w:asciiTheme="majorHAnsi" w:hAnsiTheme="majorHAnsi"/>
          <w:sz w:val="22"/>
          <w:szCs w:val="22"/>
          <w:lang w:val="en-GB"/>
        </w:rPr>
        <w:t xml:space="preserve">his </w:t>
      </w:r>
      <w:r w:rsidR="00540A8A" w:rsidRPr="005C0756">
        <w:rPr>
          <w:rFonts w:asciiTheme="majorHAnsi" w:hAnsiTheme="majorHAnsi"/>
          <w:sz w:val="22"/>
          <w:szCs w:val="22"/>
          <w:lang w:val="en-GB"/>
        </w:rPr>
        <w:t xml:space="preserve">IYRP </w:t>
      </w:r>
      <w:r w:rsidR="00267397" w:rsidRPr="005C0756">
        <w:rPr>
          <w:rFonts w:asciiTheme="majorHAnsi" w:hAnsiTheme="majorHAnsi"/>
          <w:sz w:val="22"/>
          <w:szCs w:val="22"/>
          <w:lang w:val="en-GB"/>
        </w:rPr>
        <w:t>Game Changing Idea goes beyond climate change – it is an integrated, cross-</w:t>
      </w:r>
      <w:proofErr w:type="spellStart"/>
      <w:r w:rsidR="00267397" w:rsidRPr="005C0756">
        <w:rPr>
          <w:rFonts w:asciiTheme="majorHAnsi" w:hAnsiTheme="majorHAnsi"/>
          <w:sz w:val="22"/>
          <w:szCs w:val="22"/>
          <w:lang w:val="en-GB"/>
        </w:rPr>
        <w:t>sectoral</w:t>
      </w:r>
      <w:proofErr w:type="spellEnd"/>
      <w:r w:rsidR="00267397" w:rsidRPr="005C0756">
        <w:rPr>
          <w:rFonts w:asciiTheme="majorHAnsi" w:hAnsiTheme="majorHAnsi"/>
          <w:sz w:val="22"/>
          <w:szCs w:val="22"/>
          <w:lang w:val="en-GB"/>
        </w:rPr>
        <w:t xml:space="preserve"> view of the value of mobile pastoralism. </w:t>
      </w:r>
    </w:p>
    <w:p w14:paraId="4503480B" w14:textId="130E40C4" w:rsidR="00540A8A" w:rsidRPr="004109E5" w:rsidRDefault="00540A8A" w:rsidP="00922610">
      <w:pPr>
        <w:spacing w:before="120"/>
        <w:rPr>
          <w:rFonts w:asciiTheme="majorHAnsi" w:hAnsiTheme="majorHAnsi"/>
          <w:sz w:val="22"/>
          <w:szCs w:val="22"/>
          <w:lang w:val="en-GB"/>
        </w:rPr>
      </w:pPr>
      <w:r w:rsidRPr="005C0756">
        <w:rPr>
          <w:rFonts w:asciiTheme="majorHAnsi" w:hAnsiTheme="majorHAnsi"/>
          <w:sz w:val="22"/>
          <w:szCs w:val="22"/>
          <w:lang w:val="en-GB"/>
        </w:rPr>
        <w:t>Several IYRP supporting organi</w:t>
      </w:r>
      <w:r w:rsidR="0025701C" w:rsidRPr="005C0756">
        <w:rPr>
          <w:rFonts w:asciiTheme="majorHAnsi" w:hAnsiTheme="majorHAnsi"/>
          <w:sz w:val="22"/>
          <w:szCs w:val="22"/>
          <w:lang w:val="en-GB"/>
        </w:rPr>
        <w:t>s</w:t>
      </w:r>
      <w:r w:rsidRPr="005C0756">
        <w:rPr>
          <w:rFonts w:asciiTheme="majorHAnsi" w:hAnsiTheme="majorHAnsi"/>
          <w:sz w:val="22"/>
          <w:szCs w:val="22"/>
          <w:lang w:val="en-GB"/>
        </w:rPr>
        <w:t>ations have been participating in the process, including in Working Groups</w:t>
      </w:r>
      <w:r w:rsidR="005662E7" w:rsidRPr="005C0756">
        <w:rPr>
          <w:rFonts w:asciiTheme="majorHAnsi" w:hAnsiTheme="majorHAnsi"/>
          <w:color w:val="FF0000"/>
          <w:sz w:val="22"/>
          <w:szCs w:val="22"/>
          <w:lang w:val="en-GB"/>
        </w:rPr>
        <w:t xml:space="preserve"> </w:t>
      </w:r>
      <w:r w:rsidRPr="004109E5">
        <w:rPr>
          <w:rFonts w:asciiTheme="majorHAnsi" w:hAnsiTheme="majorHAnsi"/>
          <w:sz w:val="22"/>
          <w:szCs w:val="22"/>
          <w:lang w:val="en-GB"/>
        </w:rPr>
        <w:t xml:space="preserve">and as a </w:t>
      </w:r>
      <w:r w:rsidR="005662E7" w:rsidRPr="004109E5">
        <w:rPr>
          <w:rFonts w:asciiTheme="majorHAnsi" w:hAnsiTheme="majorHAnsi"/>
          <w:sz w:val="22"/>
          <w:szCs w:val="22"/>
          <w:lang w:val="en-GB"/>
        </w:rPr>
        <w:t xml:space="preserve">(Mongolian) </w:t>
      </w:r>
      <w:r w:rsidRPr="004109E5">
        <w:rPr>
          <w:rFonts w:asciiTheme="majorHAnsi" w:hAnsiTheme="majorHAnsi"/>
          <w:sz w:val="22"/>
          <w:szCs w:val="22"/>
          <w:lang w:val="en-GB"/>
        </w:rPr>
        <w:t xml:space="preserve">voice of pastoralists in </w:t>
      </w:r>
      <w:r w:rsidR="00352C2D" w:rsidRPr="004109E5">
        <w:rPr>
          <w:rFonts w:asciiTheme="majorHAnsi" w:hAnsiTheme="majorHAnsi"/>
          <w:sz w:val="22"/>
          <w:szCs w:val="22"/>
          <w:lang w:val="en-GB"/>
        </w:rPr>
        <w:t>the Producers Community.</w:t>
      </w:r>
    </w:p>
    <w:p w14:paraId="29EFBAB8" w14:textId="5FC31D15" w:rsidR="00352C2D" w:rsidRPr="005C0756" w:rsidRDefault="00352C2D" w:rsidP="00922610">
      <w:pPr>
        <w:spacing w:before="120"/>
        <w:rPr>
          <w:rFonts w:asciiTheme="majorHAnsi" w:hAnsiTheme="majorHAnsi"/>
          <w:sz w:val="22"/>
          <w:szCs w:val="22"/>
          <w:lang w:val="en-GB"/>
        </w:rPr>
      </w:pPr>
      <w:r w:rsidRPr="005C0756">
        <w:rPr>
          <w:rFonts w:asciiTheme="majorHAnsi" w:hAnsiTheme="majorHAnsi"/>
          <w:sz w:val="22"/>
          <w:szCs w:val="22"/>
          <w:lang w:val="en-GB"/>
        </w:rPr>
        <w:t>The IYRP also organi</w:t>
      </w:r>
      <w:r w:rsidR="0025701C" w:rsidRPr="005C0756">
        <w:rPr>
          <w:rFonts w:asciiTheme="majorHAnsi" w:hAnsiTheme="majorHAnsi"/>
          <w:sz w:val="22"/>
          <w:szCs w:val="22"/>
          <w:lang w:val="en-GB"/>
        </w:rPr>
        <w:t>s</w:t>
      </w:r>
      <w:r w:rsidRPr="005C0756">
        <w:rPr>
          <w:rFonts w:asciiTheme="majorHAnsi" w:hAnsiTheme="majorHAnsi"/>
          <w:sz w:val="22"/>
          <w:szCs w:val="22"/>
          <w:lang w:val="en-GB"/>
        </w:rPr>
        <w:t xml:space="preserve">ed a </w:t>
      </w:r>
      <w:r w:rsidR="009127AD">
        <w:rPr>
          <w:rFonts w:asciiTheme="majorHAnsi" w:hAnsiTheme="majorHAnsi"/>
          <w:sz w:val="22"/>
          <w:szCs w:val="22"/>
          <w:lang w:val="en-GB"/>
        </w:rPr>
        <w:t>parallel (</w:t>
      </w:r>
      <w:r w:rsidRPr="005C0756">
        <w:rPr>
          <w:rFonts w:asciiTheme="majorHAnsi" w:hAnsiTheme="majorHAnsi"/>
          <w:sz w:val="22"/>
          <w:szCs w:val="22"/>
          <w:lang w:val="en-GB"/>
        </w:rPr>
        <w:t>affiliated</w:t>
      </w:r>
      <w:r w:rsidR="009127AD">
        <w:rPr>
          <w:rFonts w:asciiTheme="majorHAnsi" w:hAnsiTheme="majorHAnsi"/>
          <w:sz w:val="22"/>
          <w:szCs w:val="22"/>
          <w:lang w:val="en-GB"/>
        </w:rPr>
        <w:t>)</w:t>
      </w:r>
      <w:bookmarkStart w:id="0" w:name="_GoBack"/>
      <w:bookmarkEnd w:id="0"/>
      <w:r w:rsidRPr="005C0756">
        <w:rPr>
          <w:rFonts w:asciiTheme="majorHAnsi" w:hAnsiTheme="majorHAnsi"/>
          <w:sz w:val="22"/>
          <w:szCs w:val="22"/>
          <w:lang w:val="en-GB"/>
        </w:rPr>
        <w:t xml:space="preserve"> session at the Pre-Summit </w:t>
      </w:r>
      <w:r w:rsidR="005662E7" w:rsidRPr="005C0756">
        <w:rPr>
          <w:rFonts w:asciiTheme="majorHAnsi" w:hAnsiTheme="majorHAnsi"/>
          <w:sz w:val="22"/>
          <w:szCs w:val="22"/>
          <w:lang w:val="en-GB"/>
        </w:rPr>
        <w:t>o</w:t>
      </w:r>
      <w:r w:rsidRPr="005C0756">
        <w:rPr>
          <w:rFonts w:asciiTheme="majorHAnsi" w:hAnsiTheme="majorHAnsi"/>
          <w:sz w:val="22"/>
          <w:szCs w:val="22"/>
          <w:lang w:val="en-GB"/>
        </w:rPr>
        <w:t xml:space="preserve">n </w:t>
      </w:r>
      <w:r w:rsidR="005662E7" w:rsidRPr="005C0756">
        <w:rPr>
          <w:rFonts w:asciiTheme="majorHAnsi" w:hAnsiTheme="majorHAnsi"/>
          <w:sz w:val="22"/>
          <w:szCs w:val="22"/>
          <w:lang w:val="en-GB"/>
        </w:rPr>
        <w:t xml:space="preserve">26 </w:t>
      </w:r>
      <w:r w:rsidRPr="005C0756">
        <w:rPr>
          <w:rFonts w:asciiTheme="majorHAnsi" w:hAnsiTheme="majorHAnsi"/>
          <w:sz w:val="22"/>
          <w:szCs w:val="22"/>
          <w:lang w:val="en-GB"/>
        </w:rPr>
        <w:t xml:space="preserve">July 2021 – </w:t>
      </w:r>
      <w:r w:rsidR="005662E7" w:rsidRPr="005C0756">
        <w:rPr>
          <w:rFonts w:asciiTheme="majorHAnsi" w:hAnsiTheme="majorHAnsi"/>
          <w:sz w:val="22"/>
          <w:szCs w:val="22"/>
          <w:lang w:val="en-GB"/>
        </w:rPr>
        <w:t>see the</w:t>
      </w:r>
      <w:r w:rsidRPr="005C0756">
        <w:rPr>
          <w:rFonts w:asciiTheme="majorHAnsi" w:hAnsiTheme="majorHAnsi"/>
          <w:sz w:val="22"/>
          <w:szCs w:val="22"/>
          <w:lang w:val="en-GB"/>
        </w:rPr>
        <w:t xml:space="preserve"> full report </w:t>
      </w:r>
      <w:r w:rsidR="005662E7" w:rsidRPr="005C0756">
        <w:rPr>
          <w:rFonts w:asciiTheme="majorHAnsi" w:hAnsiTheme="majorHAnsi"/>
          <w:sz w:val="22"/>
          <w:szCs w:val="22"/>
          <w:lang w:val="en-GB"/>
        </w:rPr>
        <w:t>and the recording in the links below.</w:t>
      </w:r>
    </w:p>
    <w:p w14:paraId="6CDAEDD2" w14:textId="75270CEC" w:rsidR="00F4554A" w:rsidRPr="005C0756" w:rsidRDefault="00682FD4" w:rsidP="00922610">
      <w:pPr>
        <w:spacing w:before="120"/>
        <w:rPr>
          <w:rFonts w:asciiTheme="majorHAnsi" w:hAnsiTheme="majorHAnsi"/>
          <w:sz w:val="22"/>
          <w:szCs w:val="22"/>
          <w:lang w:val="en-GB"/>
        </w:rPr>
      </w:pPr>
      <w:r w:rsidRPr="005C0756">
        <w:rPr>
          <w:rFonts w:asciiTheme="majorHAnsi" w:hAnsiTheme="majorHAnsi"/>
          <w:sz w:val="22"/>
          <w:szCs w:val="22"/>
          <w:lang w:val="en-GB"/>
        </w:rPr>
        <w:t xml:space="preserve">The </w:t>
      </w:r>
      <w:r w:rsidR="00540A8A" w:rsidRPr="005C0756">
        <w:rPr>
          <w:rFonts w:asciiTheme="majorHAnsi" w:hAnsiTheme="majorHAnsi"/>
          <w:sz w:val="22"/>
          <w:szCs w:val="22"/>
          <w:lang w:val="en-GB"/>
        </w:rPr>
        <w:t xml:space="preserve">UNFSS states that its </w:t>
      </w:r>
      <w:r w:rsidRPr="005C0756">
        <w:rPr>
          <w:rFonts w:asciiTheme="majorHAnsi" w:hAnsiTheme="majorHAnsi"/>
          <w:sz w:val="22"/>
          <w:szCs w:val="22"/>
          <w:lang w:val="en-GB"/>
        </w:rPr>
        <w:t xml:space="preserve">call for solutions and game-changing ideas was intended to capture public engagement in the process. </w:t>
      </w:r>
      <w:proofErr w:type="gramStart"/>
      <w:r w:rsidRPr="005C0756">
        <w:rPr>
          <w:rFonts w:asciiTheme="majorHAnsi" w:hAnsiTheme="majorHAnsi"/>
          <w:sz w:val="22"/>
          <w:szCs w:val="22"/>
          <w:lang w:val="en-GB"/>
        </w:rPr>
        <w:t xml:space="preserve">Many of the </w:t>
      </w:r>
      <w:r w:rsidR="0025701C" w:rsidRPr="005C0756">
        <w:rPr>
          <w:rFonts w:asciiTheme="majorHAnsi" w:hAnsiTheme="majorHAnsi"/>
          <w:sz w:val="22"/>
          <w:szCs w:val="22"/>
          <w:lang w:val="en-GB"/>
        </w:rPr>
        <w:t>S</w:t>
      </w:r>
      <w:r w:rsidRPr="005C0756">
        <w:rPr>
          <w:rFonts w:asciiTheme="majorHAnsi" w:hAnsiTheme="majorHAnsi"/>
          <w:sz w:val="22"/>
          <w:szCs w:val="22"/>
          <w:lang w:val="en-GB"/>
        </w:rPr>
        <w:t xml:space="preserve">olutions have been </w:t>
      </w:r>
      <w:r w:rsidR="00352C2D" w:rsidRPr="005C0756">
        <w:rPr>
          <w:rFonts w:asciiTheme="majorHAnsi" w:hAnsiTheme="majorHAnsi"/>
          <w:sz w:val="22"/>
          <w:szCs w:val="22"/>
          <w:lang w:val="en-GB"/>
        </w:rPr>
        <w:t>submitted</w:t>
      </w:r>
      <w:r w:rsidRPr="005C0756">
        <w:rPr>
          <w:rFonts w:asciiTheme="majorHAnsi" w:hAnsiTheme="majorHAnsi"/>
          <w:sz w:val="22"/>
          <w:szCs w:val="22"/>
          <w:lang w:val="en-GB"/>
        </w:rPr>
        <w:t xml:space="preserve"> by large agri-business companies and international organi</w:t>
      </w:r>
      <w:r w:rsidR="0025701C" w:rsidRPr="005C0756">
        <w:rPr>
          <w:rFonts w:asciiTheme="majorHAnsi" w:hAnsiTheme="majorHAnsi"/>
          <w:sz w:val="22"/>
          <w:szCs w:val="22"/>
          <w:lang w:val="en-GB"/>
        </w:rPr>
        <w:t>s</w:t>
      </w:r>
      <w:r w:rsidRPr="005C0756">
        <w:rPr>
          <w:rFonts w:asciiTheme="majorHAnsi" w:hAnsiTheme="majorHAnsi"/>
          <w:sz w:val="22"/>
          <w:szCs w:val="22"/>
          <w:lang w:val="en-GB"/>
        </w:rPr>
        <w:t>ations</w:t>
      </w:r>
      <w:proofErr w:type="gramEnd"/>
      <w:r w:rsidRPr="005C0756">
        <w:rPr>
          <w:rFonts w:asciiTheme="majorHAnsi" w:hAnsiTheme="majorHAnsi"/>
          <w:sz w:val="22"/>
          <w:szCs w:val="22"/>
          <w:lang w:val="en-GB"/>
        </w:rPr>
        <w:t xml:space="preserve">. While this is evidence that the private sector is engaging in UN processes </w:t>
      </w:r>
      <w:r w:rsidR="0025701C" w:rsidRPr="005C0756">
        <w:rPr>
          <w:rFonts w:asciiTheme="majorHAnsi" w:hAnsiTheme="majorHAnsi"/>
          <w:sz w:val="22"/>
          <w:szCs w:val="22"/>
          <w:lang w:val="en-GB"/>
        </w:rPr>
        <w:t xml:space="preserve">that </w:t>
      </w:r>
      <w:r w:rsidRPr="005C0756">
        <w:rPr>
          <w:rFonts w:asciiTheme="majorHAnsi" w:hAnsiTheme="majorHAnsi"/>
          <w:sz w:val="22"/>
          <w:szCs w:val="22"/>
          <w:lang w:val="en-GB"/>
        </w:rPr>
        <w:t xml:space="preserve">they </w:t>
      </w:r>
      <w:r w:rsidR="00352C2D" w:rsidRPr="005C0756">
        <w:rPr>
          <w:rFonts w:asciiTheme="majorHAnsi" w:hAnsiTheme="majorHAnsi"/>
          <w:sz w:val="22"/>
          <w:szCs w:val="22"/>
          <w:lang w:val="en-GB"/>
        </w:rPr>
        <w:t>often ignore</w:t>
      </w:r>
      <w:r w:rsidRPr="005C0756">
        <w:rPr>
          <w:rFonts w:asciiTheme="majorHAnsi" w:hAnsiTheme="majorHAnsi"/>
          <w:sz w:val="22"/>
          <w:szCs w:val="22"/>
          <w:lang w:val="en-GB"/>
        </w:rPr>
        <w:t>, the process has been critici</w:t>
      </w:r>
      <w:r w:rsidR="0025701C" w:rsidRPr="005C0756">
        <w:rPr>
          <w:rFonts w:asciiTheme="majorHAnsi" w:hAnsiTheme="majorHAnsi"/>
          <w:sz w:val="22"/>
          <w:szCs w:val="22"/>
          <w:lang w:val="en-GB"/>
        </w:rPr>
        <w:t>s</w:t>
      </w:r>
      <w:r w:rsidRPr="005C0756">
        <w:rPr>
          <w:rFonts w:asciiTheme="majorHAnsi" w:hAnsiTheme="majorHAnsi"/>
          <w:sz w:val="22"/>
          <w:szCs w:val="22"/>
          <w:lang w:val="en-GB"/>
        </w:rPr>
        <w:t xml:space="preserve">ed by </w:t>
      </w:r>
      <w:hyperlink r:id="rId11" w:history="1">
        <w:r w:rsidR="0025701C" w:rsidRPr="004109E5">
          <w:rPr>
            <w:rStyle w:val="Link"/>
            <w:rFonts w:asciiTheme="majorHAnsi" w:hAnsiTheme="majorHAnsi"/>
            <w:b/>
            <w:i/>
            <w:sz w:val="22"/>
            <w:szCs w:val="22"/>
            <w:lang w:val="en-GB"/>
          </w:rPr>
          <w:t>many civil society organis</w:t>
        </w:r>
        <w:r w:rsidRPr="004109E5">
          <w:rPr>
            <w:rStyle w:val="Link"/>
            <w:rFonts w:asciiTheme="majorHAnsi" w:hAnsiTheme="majorHAnsi"/>
            <w:b/>
            <w:i/>
            <w:sz w:val="22"/>
            <w:szCs w:val="22"/>
            <w:lang w:val="en-GB"/>
          </w:rPr>
          <w:t>a</w:t>
        </w:r>
        <w:r w:rsidRPr="004109E5">
          <w:rPr>
            <w:rStyle w:val="Link"/>
            <w:rFonts w:asciiTheme="majorHAnsi" w:hAnsiTheme="majorHAnsi"/>
            <w:b/>
            <w:i/>
            <w:sz w:val="22"/>
            <w:szCs w:val="22"/>
            <w:lang w:val="en-GB"/>
          </w:rPr>
          <w:t>tions</w:t>
        </w:r>
      </w:hyperlink>
      <w:r w:rsidRPr="005C0756">
        <w:rPr>
          <w:rFonts w:asciiTheme="majorHAnsi" w:hAnsiTheme="majorHAnsi"/>
          <w:sz w:val="22"/>
          <w:szCs w:val="22"/>
          <w:lang w:val="en-GB"/>
        </w:rPr>
        <w:t xml:space="preserve"> for</w:t>
      </w:r>
      <w:r w:rsidR="0025701C" w:rsidRPr="005C0756">
        <w:rPr>
          <w:rFonts w:asciiTheme="majorHAnsi" w:hAnsiTheme="majorHAnsi"/>
          <w:sz w:val="22"/>
          <w:szCs w:val="22"/>
          <w:lang w:val="en-GB"/>
        </w:rPr>
        <w:t>, among other things,</w:t>
      </w:r>
      <w:r w:rsidRPr="005C0756">
        <w:rPr>
          <w:rFonts w:asciiTheme="majorHAnsi" w:hAnsiTheme="majorHAnsi"/>
          <w:sz w:val="22"/>
          <w:szCs w:val="22"/>
          <w:lang w:val="en-GB"/>
        </w:rPr>
        <w:t xml:space="preserve"> having brought small</w:t>
      </w:r>
      <w:r w:rsidR="005662E7" w:rsidRPr="005C0756">
        <w:rPr>
          <w:rFonts w:asciiTheme="majorHAnsi" w:hAnsiTheme="majorHAnsi"/>
          <w:sz w:val="22"/>
          <w:szCs w:val="22"/>
          <w:lang w:val="en-GB"/>
        </w:rPr>
        <w:t>-</w:t>
      </w:r>
      <w:r w:rsidRPr="005C0756">
        <w:rPr>
          <w:rFonts w:asciiTheme="majorHAnsi" w:hAnsiTheme="majorHAnsi"/>
          <w:sz w:val="22"/>
          <w:szCs w:val="22"/>
          <w:lang w:val="en-GB"/>
        </w:rPr>
        <w:t>scale producers and indigenous communities too late in</w:t>
      </w:r>
      <w:r w:rsidR="005662E7" w:rsidRPr="005C0756">
        <w:rPr>
          <w:rFonts w:asciiTheme="majorHAnsi" w:hAnsiTheme="majorHAnsi"/>
          <w:sz w:val="22"/>
          <w:szCs w:val="22"/>
          <w:lang w:val="en-GB"/>
        </w:rPr>
        <w:t>to</w:t>
      </w:r>
      <w:r w:rsidRPr="005C0756">
        <w:rPr>
          <w:rFonts w:asciiTheme="majorHAnsi" w:hAnsiTheme="majorHAnsi"/>
          <w:sz w:val="22"/>
          <w:szCs w:val="22"/>
          <w:lang w:val="en-GB"/>
        </w:rPr>
        <w:t xml:space="preserve"> the </w:t>
      </w:r>
      <w:r w:rsidR="00352C2D" w:rsidRPr="005C0756">
        <w:rPr>
          <w:rFonts w:asciiTheme="majorHAnsi" w:hAnsiTheme="majorHAnsi"/>
          <w:sz w:val="22"/>
          <w:szCs w:val="22"/>
          <w:lang w:val="en-GB"/>
        </w:rPr>
        <w:t>consultations</w:t>
      </w:r>
      <w:r w:rsidRPr="005C0756">
        <w:rPr>
          <w:rFonts w:asciiTheme="majorHAnsi" w:hAnsiTheme="majorHAnsi"/>
          <w:sz w:val="22"/>
          <w:szCs w:val="22"/>
          <w:lang w:val="en-GB"/>
        </w:rPr>
        <w:t>.</w:t>
      </w:r>
    </w:p>
    <w:p w14:paraId="25E28E59" w14:textId="77777777" w:rsidR="00540A8A" w:rsidRPr="005C0756" w:rsidRDefault="00540A8A" w:rsidP="005662E7">
      <w:pPr>
        <w:spacing w:before="120" w:after="60"/>
        <w:rPr>
          <w:rFonts w:asciiTheme="majorHAnsi" w:hAnsiTheme="majorHAnsi"/>
          <w:sz w:val="22"/>
          <w:szCs w:val="22"/>
          <w:lang w:val="en-GB"/>
        </w:rPr>
      </w:pPr>
      <w:r w:rsidRPr="005C0756">
        <w:rPr>
          <w:rFonts w:asciiTheme="majorHAnsi" w:hAnsiTheme="majorHAnsi"/>
          <w:sz w:val="22"/>
          <w:szCs w:val="22"/>
          <w:lang w:val="en-GB"/>
        </w:rPr>
        <w:t>If you wish to engage with the process, here are some opportunities:</w:t>
      </w:r>
    </w:p>
    <w:p w14:paraId="7F7BA5F3" w14:textId="133D5EA0" w:rsidR="00540A8A" w:rsidRPr="005C0756" w:rsidRDefault="00540A8A" w:rsidP="005C0756">
      <w:pPr>
        <w:pStyle w:val="Listenabsatz"/>
        <w:numPr>
          <w:ilvl w:val="0"/>
          <w:numId w:val="4"/>
        </w:numPr>
        <w:rPr>
          <w:rFonts w:asciiTheme="majorHAnsi" w:hAnsiTheme="majorHAnsi"/>
          <w:sz w:val="22"/>
          <w:szCs w:val="22"/>
          <w:lang w:val="en-GB"/>
        </w:rPr>
      </w:pPr>
      <w:r w:rsidRPr="005C0756">
        <w:rPr>
          <w:rFonts w:asciiTheme="majorHAnsi" w:hAnsiTheme="majorHAnsi"/>
          <w:sz w:val="22"/>
          <w:szCs w:val="22"/>
          <w:lang w:val="en-GB"/>
        </w:rPr>
        <w:t xml:space="preserve">Find out more about the </w:t>
      </w:r>
      <w:r w:rsidR="004109E5">
        <w:rPr>
          <w:rFonts w:asciiTheme="majorHAnsi" w:hAnsiTheme="majorHAnsi"/>
          <w:sz w:val="22"/>
          <w:szCs w:val="22"/>
          <w:lang w:val="en-GB"/>
        </w:rPr>
        <w:t>UNFSS</w:t>
      </w:r>
      <w:r w:rsidRPr="005C0756">
        <w:rPr>
          <w:rFonts w:asciiTheme="majorHAnsi" w:hAnsiTheme="majorHAnsi"/>
          <w:sz w:val="22"/>
          <w:szCs w:val="22"/>
          <w:lang w:val="en-GB"/>
        </w:rPr>
        <w:t>: https://www.un.org/en/food-systems-summit/frequently-asked-questions</w:t>
      </w:r>
    </w:p>
    <w:p w14:paraId="459A4F44" w14:textId="4503DD38" w:rsidR="00540A8A" w:rsidRPr="005C0756" w:rsidRDefault="00540A8A" w:rsidP="005C0756">
      <w:pPr>
        <w:pStyle w:val="Listenabsatz"/>
        <w:numPr>
          <w:ilvl w:val="0"/>
          <w:numId w:val="4"/>
        </w:numPr>
        <w:rPr>
          <w:rFonts w:asciiTheme="majorHAnsi" w:hAnsiTheme="majorHAnsi"/>
          <w:sz w:val="22"/>
          <w:szCs w:val="22"/>
          <w:lang w:val="en-GB"/>
        </w:rPr>
      </w:pPr>
      <w:r w:rsidRPr="005C0756">
        <w:rPr>
          <w:rFonts w:asciiTheme="majorHAnsi" w:hAnsiTheme="majorHAnsi"/>
          <w:sz w:val="22"/>
          <w:szCs w:val="22"/>
          <w:lang w:val="en-GB"/>
        </w:rPr>
        <w:t>Provide feedback on the Action</w:t>
      </w:r>
      <w:r w:rsidR="00F51FC4">
        <w:rPr>
          <w:rFonts w:asciiTheme="majorHAnsi" w:hAnsiTheme="majorHAnsi"/>
          <w:sz w:val="22"/>
          <w:szCs w:val="22"/>
          <w:lang w:val="en-GB"/>
        </w:rPr>
        <w:t xml:space="preserve"> Tracks</w:t>
      </w:r>
      <w:r w:rsidRPr="005C0756">
        <w:rPr>
          <w:rFonts w:asciiTheme="majorHAnsi" w:hAnsiTheme="majorHAnsi"/>
          <w:sz w:val="22"/>
          <w:szCs w:val="22"/>
          <w:lang w:val="en-GB"/>
        </w:rPr>
        <w:t>: https://www.un.org/en/food-systems-summit/action-tracks</w:t>
      </w:r>
    </w:p>
    <w:p w14:paraId="0A9E59F9" w14:textId="7C5F2ACE" w:rsidR="00F4554A" w:rsidRPr="005C0756" w:rsidRDefault="00352C2D" w:rsidP="005C0756">
      <w:pPr>
        <w:pStyle w:val="Listenabsatz"/>
        <w:numPr>
          <w:ilvl w:val="0"/>
          <w:numId w:val="4"/>
        </w:numPr>
        <w:rPr>
          <w:rFonts w:asciiTheme="majorHAnsi" w:hAnsiTheme="majorHAnsi"/>
          <w:sz w:val="22"/>
          <w:szCs w:val="22"/>
          <w:lang w:val="en-GB"/>
        </w:rPr>
      </w:pPr>
      <w:r w:rsidRPr="005C0756">
        <w:rPr>
          <w:rFonts w:asciiTheme="majorHAnsi" w:hAnsiTheme="majorHAnsi"/>
          <w:sz w:val="22"/>
          <w:szCs w:val="22"/>
          <w:lang w:val="en-GB"/>
        </w:rPr>
        <w:t>Join the UNFSS “Communities”: https://foodsystems.community/communities</w:t>
      </w:r>
    </w:p>
    <w:sectPr w:rsidR="00F4554A" w:rsidRPr="005C0756" w:rsidSect="004109E5">
      <w:headerReference w:type="default" r:id="rId12"/>
      <w:pgSz w:w="11901" w:h="16840"/>
      <w:pgMar w:top="851" w:right="1418"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3C684" w14:textId="77777777" w:rsidR="005C0756" w:rsidRDefault="005C0756" w:rsidP="005C0756">
      <w:r>
        <w:separator/>
      </w:r>
    </w:p>
  </w:endnote>
  <w:endnote w:type="continuationSeparator" w:id="0">
    <w:p w14:paraId="53C5B55D" w14:textId="77777777" w:rsidR="005C0756" w:rsidRDefault="005C0756" w:rsidP="005C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46B4F" w14:textId="77777777" w:rsidR="005C0756" w:rsidRDefault="005C0756" w:rsidP="005C0756">
      <w:r>
        <w:separator/>
      </w:r>
    </w:p>
  </w:footnote>
  <w:footnote w:type="continuationSeparator" w:id="0">
    <w:p w14:paraId="57C928AB" w14:textId="77777777" w:rsidR="005C0756" w:rsidRDefault="005C0756" w:rsidP="005C07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5D542" w14:textId="2DC8C332" w:rsidR="005C0756" w:rsidRDefault="005C0756" w:rsidP="005C0756">
    <w:pPr>
      <w:pStyle w:val="Kopfzeile"/>
      <w:jc w:val="right"/>
    </w:pPr>
    <w:r>
      <w:rPr>
        <w:noProof/>
        <w:lang w:val="de-DE" w:eastAsia="de-DE"/>
      </w:rPr>
      <w:drawing>
        <wp:inline distT="0" distB="0" distL="0" distR="0" wp14:anchorId="09F5141C" wp14:editId="1A111977">
          <wp:extent cx="1031240" cy="640497"/>
          <wp:effectExtent l="0" t="0" r="1016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amp;P logo color 2018.png"/>
                  <pic:cNvPicPr/>
                </pic:nvPicPr>
                <pic:blipFill>
                  <a:blip r:embed="rId1">
                    <a:extLst>
                      <a:ext uri="{28A0092B-C50C-407E-A947-70E740481C1C}">
                        <a14:useLocalDpi xmlns:a14="http://schemas.microsoft.com/office/drawing/2010/main" val="0"/>
                      </a:ext>
                    </a:extLst>
                  </a:blip>
                  <a:stretch>
                    <a:fillRect/>
                  </a:stretch>
                </pic:blipFill>
                <pic:spPr>
                  <a:xfrm>
                    <a:off x="0" y="0"/>
                    <a:ext cx="1031314" cy="64054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0408B"/>
    <w:multiLevelType w:val="hybridMultilevel"/>
    <w:tmpl w:val="C8202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B6232E"/>
    <w:multiLevelType w:val="multilevel"/>
    <w:tmpl w:val="B5C25F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A1F65F9"/>
    <w:multiLevelType w:val="hybridMultilevel"/>
    <w:tmpl w:val="B5C25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7A390C"/>
    <w:multiLevelType w:val="hybridMultilevel"/>
    <w:tmpl w:val="9760A1A8"/>
    <w:lvl w:ilvl="0" w:tplc="6B2020E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4A"/>
    <w:rsid w:val="00067715"/>
    <w:rsid w:val="002323DF"/>
    <w:rsid w:val="0025701C"/>
    <w:rsid w:val="00267397"/>
    <w:rsid w:val="00352C2D"/>
    <w:rsid w:val="004109E5"/>
    <w:rsid w:val="00540A8A"/>
    <w:rsid w:val="005662E7"/>
    <w:rsid w:val="005704AB"/>
    <w:rsid w:val="005C0756"/>
    <w:rsid w:val="00682FD4"/>
    <w:rsid w:val="009127AD"/>
    <w:rsid w:val="00922610"/>
    <w:rsid w:val="00E40347"/>
    <w:rsid w:val="00F4554A"/>
    <w:rsid w:val="00F5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ACBD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554A"/>
    <w:pPr>
      <w:ind w:left="720"/>
      <w:contextualSpacing/>
    </w:pPr>
  </w:style>
  <w:style w:type="paragraph" w:styleId="Sprechblasentext">
    <w:name w:val="Balloon Text"/>
    <w:basedOn w:val="Standard"/>
    <w:link w:val="SprechblasentextZeichen"/>
    <w:uiPriority w:val="99"/>
    <w:semiHidden/>
    <w:unhideWhenUsed/>
    <w:rsid w:val="002323D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323DF"/>
    <w:rPr>
      <w:rFonts w:ascii="Lucida Grande" w:hAnsi="Lucida Grande" w:cs="Lucida Grande"/>
      <w:sz w:val="18"/>
      <w:szCs w:val="18"/>
    </w:rPr>
  </w:style>
  <w:style w:type="character" w:styleId="Link">
    <w:name w:val="Hyperlink"/>
    <w:basedOn w:val="Absatzstandardschriftart"/>
    <w:uiPriority w:val="99"/>
    <w:unhideWhenUsed/>
    <w:rsid w:val="00922610"/>
    <w:rPr>
      <w:color w:val="0000FF" w:themeColor="hyperlink"/>
      <w:u w:val="single"/>
    </w:rPr>
  </w:style>
  <w:style w:type="character" w:styleId="Kommentarzeichen">
    <w:name w:val="annotation reference"/>
    <w:basedOn w:val="Absatzstandardschriftart"/>
    <w:uiPriority w:val="99"/>
    <w:semiHidden/>
    <w:unhideWhenUsed/>
    <w:rsid w:val="005662E7"/>
    <w:rPr>
      <w:sz w:val="18"/>
      <w:szCs w:val="18"/>
    </w:rPr>
  </w:style>
  <w:style w:type="paragraph" w:styleId="Kommentartext">
    <w:name w:val="annotation text"/>
    <w:basedOn w:val="Standard"/>
    <w:link w:val="KommentartextZeichen"/>
    <w:uiPriority w:val="99"/>
    <w:semiHidden/>
    <w:unhideWhenUsed/>
    <w:rsid w:val="005662E7"/>
  </w:style>
  <w:style w:type="character" w:customStyle="1" w:styleId="KommentartextZeichen">
    <w:name w:val="Kommentartext Zeichen"/>
    <w:basedOn w:val="Absatzstandardschriftart"/>
    <w:link w:val="Kommentartext"/>
    <w:uiPriority w:val="99"/>
    <w:semiHidden/>
    <w:rsid w:val="005662E7"/>
  </w:style>
  <w:style w:type="paragraph" w:styleId="Kommentarthema">
    <w:name w:val="annotation subject"/>
    <w:basedOn w:val="Kommentartext"/>
    <w:next w:val="Kommentartext"/>
    <w:link w:val="KommentarthemaZeichen"/>
    <w:uiPriority w:val="99"/>
    <w:semiHidden/>
    <w:unhideWhenUsed/>
    <w:rsid w:val="005662E7"/>
    <w:rPr>
      <w:b/>
      <w:bCs/>
      <w:sz w:val="20"/>
      <w:szCs w:val="20"/>
    </w:rPr>
  </w:style>
  <w:style w:type="character" w:customStyle="1" w:styleId="KommentarthemaZeichen">
    <w:name w:val="Kommentarthema Zeichen"/>
    <w:basedOn w:val="KommentartextZeichen"/>
    <w:link w:val="Kommentarthema"/>
    <w:uiPriority w:val="99"/>
    <w:semiHidden/>
    <w:rsid w:val="005662E7"/>
    <w:rPr>
      <w:b/>
      <w:bCs/>
      <w:sz w:val="20"/>
      <w:szCs w:val="20"/>
    </w:rPr>
  </w:style>
  <w:style w:type="character" w:styleId="GesichteterLink">
    <w:name w:val="FollowedHyperlink"/>
    <w:basedOn w:val="Absatzstandardschriftart"/>
    <w:uiPriority w:val="99"/>
    <w:semiHidden/>
    <w:unhideWhenUsed/>
    <w:rsid w:val="0025701C"/>
    <w:rPr>
      <w:color w:val="800080" w:themeColor="followedHyperlink"/>
      <w:u w:val="single"/>
    </w:rPr>
  </w:style>
  <w:style w:type="paragraph" w:styleId="Kopfzeile">
    <w:name w:val="header"/>
    <w:basedOn w:val="Standard"/>
    <w:link w:val="KopfzeileZeichen"/>
    <w:uiPriority w:val="99"/>
    <w:unhideWhenUsed/>
    <w:rsid w:val="005C0756"/>
    <w:pPr>
      <w:tabs>
        <w:tab w:val="center" w:pos="4703"/>
        <w:tab w:val="right" w:pos="9406"/>
      </w:tabs>
    </w:pPr>
  </w:style>
  <w:style w:type="character" w:customStyle="1" w:styleId="KopfzeileZeichen">
    <w:name w:val="Kopfzeile Zeichen"/>
    <w:basedOn w:val="Absatzstandardschriftart"/>
    <w:link w:val="Kopfzeile"/>
    <w:uiPriority w:val="99"/>
    <w:rsid w:val="005C0756"/>
  </w:style>
  <w:style w:type="paragraph" w:styleId="Fuzeile">
    <w:name w:val="footer"/>
    <w:basedOn w:val="Standard"/>
    <w:link w:val="FuzeileZeichen"/>
    <w:uiPriority w:val="99"/>
    <w:unhideWhenUsed/>
    <w:rsid w:val="005C0756"/>
    <w:pPr>
      <w:tabs>
        <w:tab w:val="center" w:pos="4703"/>
        <w:tab w:val="right" w:pos="9406"/>
      </w:tabs>
    </w:pPr>
  </w:style>
  <w:style w:type="character" w:customStyle="1" w:styleId="FuzeileZeichen">
    <w:name w:val="Fußzeile Zeichen"/>
    <w:basedOn w:val="Absatzstandardschriftart"/>
    <w:link w:val="Fuzeile"/>
    <w:uiPriority w:val="99"/>
    <w:rsid w:val="005C07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554A"/>
    <w:pPr>
      <w:ind w:left="720"/>
      <w:contextualSpacing/>
    </w:pPr>
  </w:style>
  <w:style w:type="paragraph" w:styleId="Sprechblasentext">
    <w:name w:val="Balloon Text"/>
    <w:basedOn w:val="Standard"/>
    <w:link w:val="SprechblasentextZeichen"/>
    <w:uiPriority w:val="99"/>
    <w:semiHidden/>
    <w:unhideWhenUsed/>
    <w:rsid w:val="002323D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323DF"/>
    <w:rPr>
      <w:rFonts w:ascii="Lucida Grande" w:hAnsi="Lucida Grande" w:cs="Lucida Grande"/>
      <w:sz w:val="18"/>
      <w:szCs w:val="18"/>
    </w:rPr>
  </w:style>
  <w:style w:type="character" w:styleId="Link">
    <w:name w:val="Hyperlink"/>
    <w:basedOn w:val="Absatzstandardschriftart"/>
    <w:uiPriority w:val="99"/>
    <w:unhideWhenUsed/>
    <w:rsid w:val="00922610"/>
    <w:rPr>
      <w:color w:val="0000FF" w:themeColor="hyperlink"/>
      <w:u w:val="single"/>
    </w:rPr>
  </w:style>
  <w:style w:type="character" w:styleId="Kommentarzeichen">
    <w:name w:val="annotation reference"/>
    <w:basedOn w:val="Absatzstandardschriftart"/>
    <w:uiPriority w:val="99"/>
    <w:semiHidden/>
    <w:unhideWhenUsed/>
    <w:rsid w:val="005662E7"/>
    <w:rPr>
      <w:sz w:val="18"/>
      <w:szCs w:val="18"/>
    </w:rPr>
  </w:style>
  <w:style w:type="paragraph" w:styleId="Kommentartext">
    <w:name w:val="annotation text"/>
    <w:basedOn w:val="Standard"/>
    <w:link w:val="KommentartextZeichen"/>
    <w:uiPriority w:val="99"/>
    <w:semiHidden/>
    <w:unhideWhenUsed/>
    <w:rsid w:val="005662E7"/>
  </w:style>
  <w:style w:type="character" w:customStyle="1" w:styleId="KommentartextZeichen">
    <w:name w:val="Kommentartext Zeichen"/>
    <w:basedOn w:val="Absatzstandardschriftart"/>
    <w:link w:val="Kommentartext"/>
    <w:uiPriority w:val="99"/>
    <w:semiHidden/>
    <w:rsid w:val="005662E7"/>
  </w:style>
  <w:style w:type="paragraph" w:styleId="Kommentarthema">
    <w:name w:val="annotation subject"/>
    <w:basedOn w:val="Kommentartext"/>
    <w:next w:val="Kommentartext"/>
    <w:link w:val="KommentarthemaZeichen"/>
    <w:uiPriority w:val="99"/>
    <w:semiHidden/>
    <w:unhideWhenUsed/>
    <w:rsid w:val="005662E7"/>
    <w:rPr>
      <w:b/>
      <w:bCs/>
      <w:sz w:val="20"/>
      <w:szCs w:val="20"/>
    </w:rPr>
  </w:style>
  <w:style w:type="character" w:customStyle="1" w:styleId="KommentarthemaZeichen">
    <w:name w:val="Kommentarthema Zeichen"/>
    <w:basedOn w:val="KommentartextZeichen"/>
    <w:link w:val="Kommentarthema"/>
    <w:uiPriority w:val="99"/>
    <w:semiHidden/>
    <w:rsid w:val="005662E7"/>
    <w:rPr>
      <w:b/>
      <w:bCs/>
      <w:sz w:val="20"/>
      <w:szCs w:val="20"/>
    </w:rPr>
  </w:style>
  <w:style w:type="character" w:styleId="GesichteterLink">
    <w:name w:val="FollowedHyperlink"/>
    <w:basedOn w:val="Absatzstandardschriftart"/>
    <w:uiPriority w:val="99"/>
    <w:semiHidden/>
    <w:unhideWhenUsed/>
    <w:rsid w:val="0025701C"/>
    <w:rPr>
      <w:color w:val="800080" w:themeColor="followedHyperlink"/>
      <w:u w:val="single"/>
    </w:rPr>
  </w:style>
  <w:style w:type="paragraph" w:styleId="Kopfzeile">
    <w:name w:val="header"/>
    <w:basedOn w:val="Standard"/>
    <w:link w:val="KopfzeileZeichen"/>
    <w:uiPriority w:val="99"/>
    <w:unhideWhenUsed/>
    <w:rsid w:val="005C0756"/>
    <w:pPr>
      <w:tabs>
        <w:tab w:val="center" w:pos="4703"/>
        <w:tab w:val="right" w:pos="9406"/>
      </w:tabs>
    </w:pPr>
  </w:style>
  <w:style w:type="character" w:customStyle="1" w:styleId="KopfzeileZeichen">
    <w:name w:val="Kopfzeile Zeichen"/>
    <w:basedOn w:val="Absatzstandardschriftart"/>
    <w:link w:val="Kopfzeile"/>
    <w:uiPriority w:val="99"/>
    <w:rsid w:val="005C0756"/>
  </w:style>
  <w:style w:type="paragraph" w:styleId="Fuzeile">
    <w:name w:val="footer"/>
    <w:basedOn w:val="Standard"/>
    <w:link w:val="FuzeileZeichen"/>
    <w:uiPriority w:val="99"/>
    <w:unhideWhenUsed/>
    <w:rsid w:val="005C0756"/>
    <w:pPr>
      <w:tabs>
        <w:tab w:val="center" w:pos="4703"/>
        <w:tab w:val="right" w:pos="9406"/>
      </w:tabs>
    </w:pPr>
  </w:style>
  <w:style w:type="character" w:customStyle="1" w:styleId="FuzeileZeichen">
    <w:name w:val="Fußzeile Zeichen"/>
    <w:basedOn w:val="Absatzstandardschriftart"/>
    <w:link w:val="Fuzeile"/>
    <w:uiPriority w:val="99"/>
    <w:rsid w:val="005C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4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qualtimes.org/as-concerns-over-the-un-food"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un.org/en/food-systems-summit/action-tracks" TargetMode="External"/><Relationship Id="rId10" Type="http://schemas.openxmlformats.org/officeDocument/2006/relationships/hyperlink" Target="https://www.iyrp.info/sites/iyrp.org/files/FSS%2087-VALUING-RANGELAND-VARIABIL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2805</Characters>
  <Application>Microsoft Macintosh Word</Application>
  <DocSecurity>0</DocSecurity>
  <Lines>23</Lines>
  <Paragraphs>6</Paragraphs>
  <ScaleCrop>false</ScaleCrop>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Niamir-Fuller</dc:creator>
  <cp:keywords/>
  <dc:description/>
  <cp:lastModifiedBy>Reviewer</cp:lastModifiedBy>
  <cp:revision>6</cp:revision>
  <dcterms:created xsi:type="dcterms:W3CDTF">2021-08-17T10:50:00Z</dcterms:created>
  <dcterms:modified xsi:type="dcterms:W3CDTF">2021-08-17T11:08:00Z</dcterms:modified>
</cp:coreProperties>
</file>