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jc w:val="both"/>
        <w:rPr>
          <w:rFonts w:ascii="Times New Roman" w:cs="Times New Roman" w:eastAsia="Times New Roman" w:hAnsi="Times New Roman"/>
          <w:b w:val="1"/>
          <w:bCs w:val="1"/>
          <w:sz w:val="46"/>
          <w:szCs w:val="46"/>
        </w:rPr>
      </w:pPr>
      <w:bookmarkStart w:colFirst="0" w:colLast="0" w:name="_tqdijh5qo7s9" w:id="0"/>
      <w:bookmarkEnd w:id="0"/>
      <w:r w:rsidDel="00000000" w:rsidR="00000000" w:rsidRPr="00000000">
        <w:rPr>
          <w:rFonts w:ascii="Times New Roman" w:cs="Times New Roman" w:eastAsia="Times New Roman" w:hAnsi="Times New Roman"/>
          <w:b w:val="1"/>
          <w:bCs w:val="1"/>
          <w:sz w:val="46"/>
          <w:szCs w:val="46"/>
          <w:rtl w:val="0"/>
        </w:rPr>
        <w:t xml:space="preserve">Transhumances! A Geopolitics of Sheep: Armenia, Azerbaijan, Iraqi Kurdistan and Turkey</w:t>
      </w:r>
    </w:p>
    <w:p w:rsidR="00000000" w:rsidDel="00000000" w:rsidP="00000000" w:rsidRDefault="00000000" w:rsidRPr="00000000" w14:paraId="00000002">
      <w:pPr>
        <w:pStyle w:val="Heading3"/>
        <w:keepNext w:val="0"/>
        <w:keepLines w:val="0"/>
        <w:spacing w:before="280" w:line="240" w:lineRule="auto"/>
        <w:jc w:val="both"/>
        <w:rPr>
          <w:rFonts w:ascii="Times New Roman" w:cs="Times New Roman" w:eastAsia="Times New Roman" w:hAnsi="Times New Roman"/>
          <w:b w:val="1"/>
          <w:bCs w:val="1"/>
          <w:color w:val="000000"/>
          <w:sz w:val="26"/>
          <w:szCs w:val="26"/>
        </w:rPr>
      </w:pPr>
      <w:bookmarkStart w:colFirst="0" w:colLast="0" w:name="_safyn6cuvkbd" w:id="1"/>
      <w:bookmarkEnd w:id="1"/>
      <w:r w:rsidDel="00000000" w:rsidR="00000000" w:rsidRPr="00000000">
        <w:rPr>
          <w:rFonts w:ascii="Times New Roman" w:cs="Times New Roman" w:eastAsia="Times New Roman" w:hAnsi="Times New Roman"/>
          <w:b w:val="1"/>
          <w:bCs w:val="1"/>
          <w:color w:val="000000"/>
          <w:sz w:val="26"/>
          <w:szCs w:val="26"/>
          <w:rtl w:val="0"/>
        </w:rPr>
        <w:t xml:space="preserve">By Michaël Thevenin</w:t>
      </w:r>
    </w:p>
    <w:p w:rsidR="00000000" w:rsidDel="00000000" w:rsidP="00000000" w:rsidRDefault="00000000" w:rsidRPr="00000000" w14:paraId="00000003">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u24rypeam96b" w:id="2"/>
      <w:bookmarkEnd w:id="2"/>
      <w:r w:rsidDel="00000000" w:rsidR="00000000" w:rsidRPr="00000000">
        <w:rPr>
          <w:rFonts w:ascii="Times New Roman" w:cs="Times New Roman" w:eastAsia="Times New Roman" w:hAnsi="Times New Roman"/>
          <w:b w:val="1"/>
          <w:bCs w:val="1"/>
          <w:sz w:val="34"/>
          <w:szCs w:val="34"/>
          <w:rtl w:val="0"/>
        </w:rPr>
        <w:t xml:space="preserve">Exhibition Overview</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exhibition brings together photographs taken by anthropologist Michaël Thevenin between 2005 and 2021 during personal travels, academic research, and scientific, archaeological, and ethnographic missions conducted in Armenia, Azerbaijan, Iraqi Kurdistan, and Turkey. These works were produced within the framework of several research programs, including the French Archaeological Mission in the Governorate of Sulaymaniyah (MAFGS), the Convergence-YEYLAK program in Azerbaijan, the GeObs project on obsidian sources and circulation in Eastern Anatolia, the NHASA International Associated Laboratory between France and Armenia, and a fellowship at the French Institute of the Near East (Ifpo) in Erbil.</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title </w:t>
      </w:r>
      <w:r w:rsidDel="00000000" w:rsidR="00000000" w:rsidRPr="00000000">
        <w:rPr>
          <w:rFonts w:ascii="Times New Roman" w:cs="Times New Roman" w:eastAsia="Times New Roman" w:hAnsi="Times New Roman"/>
          <w:i w:val="1"/>
          <w:iCs w:val="1"/>
          <w:sz w:val="24"/>
          <w:szCs w:val="24"/>
          <w:rtl w:val="0"/>
        </w:rPr>
        <w:t xml:space="preserve">Transhumances!</w:t>
      </w:r>
      <w:r w:rsidDel="00000000" w:rsidR="00000000" w:rsidRPr="00000000">
        <w:rPr>
          <w:rFonts w:ascii="Times New Roman" w:cs="Times New Roman" w:eastAsia="Times New Roman" w:hAnsi="Times New Roman"/>
          <w:sz w:val="24"/>
          <w:szCs w:val="24"/>
          <w:rtl w:val="0"/>
        </w:rPr>
        <w:t xml:space="preserve"> was chosen to emphasize the diversity of pastoral mobility practices observed across these regions. The exclamation mark echoes a sequence from Artavazd Pelechian’s 1975 film </w:t>
      </w:r>
      <w:r w:rsidDel="00000000" w:rsidR="00000000" w:rsidRPr="00000000">
        <w:rPr>
          <w:rFonts w:ascii="Times New Roman" w:cs="Times New Roman" w:eastAsia="Times New Roman" w:hAnsi="Times New Roman"/>
          <w:i w:val="1"/>
          <w:iCs w:val="1"/>
          <w:sz w:val="24"/>
          <w:szCs w:val="24"/>
          <w:rtl w:val="0"/>
        </w:rPr>
        <w:t xml:space="preserve">Seasons</w:t>
      </w:r>
      <w:r w:rsidDel="00000000" w:rsidR="00000000" w:rsidRPr="00000000">
        <w:rPr>
          <w:rFonts w:ascii="Times New Roman" w:cs="Times New Roman" w:eastAsia="Times New Roman" w:hAnsi="Times New Roman"/>
          <w:sz w:val="24"/>
          <w:szCs w:val="24"/>
          <w:rtl w:val="0"/>
        </w:rPr>
        <w:t xml:space="preserve">, in which viewers witness a flock moving through a tunnel during seasonal migration. Through its treatment of image and sound, this sequence conveys the extraordinary organized chaos that characterizes the seasonal movement of livestock in convoy. Yet the very term “transhumance” raises questions. The words </w:t>
      </w:r>
      <w:r w:rsidDel="00000000" w:rsidR="00000000" w:rsidRPr="00000000">
        <w:rPr>
          <w:rFonts w:ascii="Times New Roman" w:cs="Times New Roman" w:eastAsia="Times New Roman" w:hAnsi="Times New Roman"/>
          <w:i w:val="1"/>
          <w:iCs w:val="1"/>
          <w:sz w:val="24"/>
          <w:szCs w:val="24"/>
          <w:rtl w:val="0"/>
        </w:rPr>
        <w:t xml:space="preserve">köç</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göç</w:t>
      </w:r>
      <w:r w:rsidDel="00000000" w:rsidR="00000000" w:rsidRPr="00000000">
        <w:rPr>
          <w:rFonts w:ascii="Times New Roman" w:cs="Times New Roman" w:eastAsia="Times New Roman" w:hAnsi="Times New Roman"/>
          <w:sz w:val="24"/>
          <w:szCs w:val="24"/>
          <w:rtl w:val="0"/>
        </w:rPr>
        <w:t xml:space="preserve"> in Turkish and Azerbaijani, </w:t>
      </w:r>
      <w:r w:rsidDel="00000000" w:rsidR="00000000" w:rsidRPr="00000000">
        <w:rPr>
          <w:rFonts w:ascii="Times New Roman" w:cs="Times New Roman" w:eastAsia="Times New Roman" w:hAnsi="Times New Roman"/>
          <w:i w:val="1"/>
          <w:iCs w:val="1"/>
          <w:sz w:val="24"/>
          <w:szCs w:val="24"/>
          <w:rtl w:val="0"/>
        </w:rPr>
        <w:t xml:space="preserve">koç</w:t>
      </w:r>
      <w:r w:rsidDel="00000000" w:rsidR="00000000" w:rsidRPr="00000000">
        <w:rPr>
          <w:rFonts w:ascii="Times New Roman" w:cs="Times New Roman" w:eastAsia="Times New Roman" w:hAnsi="Times New Roman"/>
          <w:sz w:val="24"/>
          <w:szCs w:val="24"/>
          <w:rtl w:val="0"/>
        </w:rPr>
        <w:t xml:space="preserve"> in Kurmanji Kurdish, </w:t>
      </w:r>
      <w:r w:rsidDel="00000000" w:rsidR="00000000" w:rsidRPr="00000000">
        <w:rPr>
          <w:rFonts w:ascii="Times New Roman" w:cs="Times New Roman" w:eastAsia="Times New Roman" w:hAnsi="Times New Roman"/>
          <w:i w:val="1"/>
          <w:iCs w:val="1"/>
          <w:sz w:val="24"/>
          <w:szCs w:val="24"/>
          <w:rtl w:val="0"/>
        </w:rPr>
        <w:t xml:space="preserve">kooch</w:t>
      </w:r>
      <w:r w:rsidDel="00000000" w:rsidR="00000000" w:rsidRPr="00000000">
        <w:rPr>
          <w:rFonts w:ascii="Times New Roman" w:cs="Times New Roman" w:eastAsia="Times New Roman" w:hAnsi="Times New Roman"/>
          <w:sz w:val="24"/>
          <w:szCs w:val="24"/>
          <w:rtl w:val="0"/>
        </w:rPr>
        <w:t xml:space="preserve"> in Persian, and </w:t>
      </w:r>
      <w:r w:rsidDel="00000000" w:rsidR="00000000" w:rsidRPr="00000000">
        <w:rPr>
          <w:rFonts w:ascii="Times New Roman" w:cs="Times New Roman" w:eastAsia="Times New Roman" w:hAnsi="Times New Roman"/>
          <w:i w:val="1"/>
          <w:iCs w:val="1"/>
          <w:sz w:val="24"/>
          <w:szCs w:val="24"/>
          <w:rtl w:val="0"/>
        </w:rPr>
        <w:t xml:space="preserve">koch</w:t>
      </w:r>
      <w:r w:rsidDel="00000000" w:rsidR="00000000" w:rsidRPr="00000000">
        <w:rPr>
          <w:rFonts w:ascii="Tahoma" w:cs="Tahoma" w:eastAsia="Tahoma" w:hAnsi="Tahoma"/>
          <w:sz w:val="24"/>
          <w:szCs w:val="24"/>
          <w:rtl w:val="0"/>
        </w:rPr>
        <w:t xml:space="preserve"> (Քոչ) in Armenian, all of Turkic origin, locally designate forms of pastoral mobility in these regions. By contrast, the Western concept of </w:t>
      </w:r>
      <w:r w:rsidDel="00000000" w:rsidR="00000000" w:rsidRPr="00000000">
        <w:rPr>
          <w:rFonts w:ascii="Times New Roman" w:cs="Times New Roman" w:eastAsia="Times New Roman" w:hAnsi="Times New Roman"/>
          <w:i w:val="1"/>
          <w:iCs w:val="1"/>
          <w:sz w:val="24"/>
          <w:szCs w:val="24"/>
          <w:rtl w:val="0"/>
        </w:rPr>
        <w:t xml:space="preserve">transhumance</w:t>
      </w:r>
      <w:r w:rsidDel="00000000" w:rsidR="00000000" w:rsidRPr="00000000">
        <w:rPr>
          <w:rFonts w:ascii="Times New Roman" w:cs="Times New Roman" w:eastAsia="Times New Roman" w:hAnsi="Times New Roman"/>
          <w:sz w:val="24"/>
          <w:szCs w:val="24"/>
          <w:rtl w:val="0"/>
        </w:rPr>
        <w:t xml:space="preserve"> often refers to Mediterranean practices involving hired shepherds. The realities observed in the Caucasus and the Middle East, however, display a great diversity of social and economic organizations, some of which may be understood as local forms of transhumance.</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exhibition is organized around five major themes, each constituting a pathway for reflection: photography as methodology; highland practices and pastoral figures; circulation and its geopolitical constraints; forms of mobile habitation; and the diplomatic dimension of certain pastoral objects.</w:t>
      </w:r>
    </w:p>
    <w:p w:rsidR="00000000" w:rsidDel="00000000" w:rsidP="00000000" w:rsidRDefault="00000000" w:rsidRPr="00000000" w14:paraId="00000007">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hem7brm4iz6j" w:id="3"/>
      <w:bookmarkEnd w:id="3"/>
      <w:r w:rsidDel="00000000" w:rsidR="00000000" w:rsidRPr="00000000">
        <w:rPr>
          <w:rFonts w:ascii="Times New Roman" w:cs="Times New Roman" w:eastAsia="Times New Roman" w:hAnsi="Times New Roman"/>
          <w:b w:val="1"/>
          <w:bCs w:val="1"/>
          <w:sz w:val="34"/>
          <w:szCs w:val="34"/>
          <w:rtl w:val="0"/>
        </w:rPr>
        <w:t xml:space="preserve">Photography as Methodology</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Photography here is not merely an illustration of fieldwork; it is fully integrated into the research process. In what Meyer and Papinot (2017) describe as a “minimalist” approach, images serve to illustrate the object of study, adopt multiscalar perspectives ranging from landscapes to material details, and function as mnemonic devices for ethnographic description. In this sense, photography contributes to making the anthropologist an augmented observer. A more recent approach, termed “poietic” and developed by Léon-Quijano (2023), invites us to consider the creative, narrative, and sensory dimensions of visual productions. Photography thus moves beyond the mere documentation of reality to become a means of exploring social and cultural phenomena through a creative and reflexive lens. This approach explicitly acknowledges the researcher’s subjective gaze. Finally, photographic juxtaposition, drawing particularly on Bateson and Mead’s </w:t>
      </w:r>
      <w:r w:rsidDel="00000000" w:rsidR="00000000" w:rsidRPr="00000000">
        <w:rPr>
          <w:rFonts w:ascii="Times New Roman" w:cs="Times New Roman" w:eastAsia="Times New Roman" w:hAnsi="Times New Roman"/>
          <w:i w:val="1"/>
          <w:iCs w:val="1"/>
          <w:sz w:val="24"/>
          <w:szCs w:val="24"/>
          <w:rtl w:val="0"/>
        </w:rPr>
        <w:t xml:space="preserve">Balinese Character</w:t>
      </w:r>
      <w:r w:rsidDel="00000000" w:rsidR="00000000" w:rsidRPr="00000000">
        <w:rPr>
          <w:rFonts w:ascii="Times New Roman" w:cs="Times New Roman" w:eastAsia="Times New Roman" w:hAnsi="Times New Roman"/>
          <w:sz w:val="24"/>
          <w:szCs w:val="24"/>
          <w:rtl w:val="0"/>
        </w:rPr>
        <w:t xml:space="preserve"> (1942), along with practices of photo elicitation and image-based interviews, opens dialogue with research participants and enriches anthropological analysis.</w:t>
      </w:r>
    </w:p>
    <w:p w:rsidR="00000000" w:rsidDel="00000000" w:rsidP="00000000" w:rsidRDefault="00000000" w:rsidRPr="00000000" w14:paraId="00000009">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hxbcifa9cwhh" w:id="4"/>
      <w:bookmarkEnd w:id="4"/>
      <w:r w:rsidDel="00000000" w:rsidR="00000000" w:rsidRPr="00000000">
        <w:rPr>
          <w:rFonts w:ascii="Times New Roman" w:cs="Times New Roman" w:eastAsia="Times New Roman" w:hAnsi="Times New Roman"/>
          <w:b w:val="1"/>
          <w:bCs w:val="1"/>
          <w:sz w:val="34"/>
          <w:szCs w:val="34"/>
          <w:rtl w:val="0"/>
        </w:rPr>
        <w:t xml:space="preserve">“Who Goes Up There? Not Even the Birds.”</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pastoral practices documented in this exhibition reveal a wide variety of seasonal mobilities and labor arrangements. These range from family-based enterprises to forms of hired pastoral labor involving shepherds and shepherdesses in diverse contexts. Such mobilities also shape powerful social and symbolic figures: those of the nomad, the shepherd, and the shepherdess. Among them, the figure of the </w:t>
      </w:r>
      <w:r w:rsidDel="00000000" w:rsidR="00000000" w:rsidRPr="00000000">
        <w:rPr>
          <w:rFonts w:ascii="Times New Roman" w:cs="Times New Roman" w:eastAsia="Times New Roman" w:hAnsi="Times New Roman"/>
          <w:i w:val="1"/>
          <w:iCs w:val="1"/>
          <w:sz w:val="24"/>
          <w:szCs w:val="24"/>
          <w:rtl w:val="0"/>
        </w:rPr>
        <w:t xml:space="preserve">Berivan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woman who milks livestock) occupies an emblematic place in Kurdish rural imaginaries. Her representation reflects broader processes of heritage-making surrounding pastoral activities and their incorporation into regional identities.</w:t>
      </w:r>
    </w:p>
    <w:p w:rsidR="00000000" w:rsidDel="00000000" w:rsidP="00000000" w:rsidRDefault="00000000" w:rsidRPr="00000000" w14:paraId="0000000B">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iuddy9ez9w8q" w:id="5"/>
      <w:bookmarkEnd w:id="5"/>
      <w:r w:rsidDel="00000000" w:rsidR="00000000" w:rsidRPr="00000000">
        <w:rPr>
          <w:rFonts w:ascii="Times New Roman" w:cs="Times New Roman" w:eastAsia="Times New Roman" w:hAnsi="Times New Roman"/>
          <w:b w:val="1"/>
          <w:bCs w:val="1"/>
          <w:sz w:val="34"/>
          <w:szCs w:val="34"/>
          <w:rtl w:val="0"/>
        </w:rPr>
        <w:t xml:space="preserve">Transhumances, Corridors, and Coagulations</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movements can be analyzed through a genuine geopolitics of circulation. Inspired by E. Cullen Dunn’s (2020) concept of “vascular geopolitics,” pastoral routes may be understood as networks traversed not only by flows but also by constraints. The notions of </w:t>
      </w:r>
      <w:r w:rsidDel="00000000" w:rsidR="00000000" w:rsidRPr="00000000">
        <w:rPr>
          <w:rFonts w:ascii="Times New Roman" w:cs="Times New Roman" w:eastAsia="Times New Roman" w:hAnsi="Times New Roman"/>
          <w:i w:val="1"/>
          <w:iCs w:val="1"/>
          <w:sz w:val="24"/>
          <w:szCs w:val="24"/>
          <w:rtl w:val="0"/>
        </w:rPr>
        <w:t xml:space="preserve">corridors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choke points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coagulation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anticoagulation</w:t>
      </w:r>
      <w:r w:rsidDel="00000000" w:rsidR="00000000" w:rsidRPr="00000000">
        <w:rPr>
          <w:rFonts w:ascii="Times New Roman" w:cs="Times New Roman" w:eastAsia="Times New Roman" w:hAnsi="Times New Roman"/>
          <w:sz w:val="24"/>
          <w:szCs w:val="24"/>
          <w:rtl w:val="0"/>
        </w:rPr>
        <w:t xml:space="preserve"> provide conceptual tools for understanding the dynamics of movement and restriction affecting both livestock and human populations. Pastoral itineraries often intersect with strategic, economic, or military infrastructures: international roads, checkpoints, and borders. The AH82 Asian Highway in Armenia offers a particularly revealing example of the convergences and divergences between contemporary circulation networks and older pastoral mobilities.</w:t>
      </w:r>
    </w:p>
    <w:p w:rsidR="00000000" w:rsidDel="00000000" w:rsidP="00000000" w:rsidRDefault="00000000" w:rsidRPr="00000000" w14:paraId="0000000D">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z75g1knq2142" w:id="6"/>
      <w:bookmarkEnd w:id="6"/>
      <w:r w:rsidDel="00000000" w:rsidR="00000000" w:rsidRPr="00000000">
        <w:rPr>
          <w:rFonts w:ascii="Times New Roman" w:cs="Times New Roman" w:eastAsia="Times New Roman" w:hAnsi="Times New Roman"/>
          <w:b w:val="1"/>
          <w:bCs w:val="1"/>
          <w:sz w:val="34"/>
          <w:szCs w:val="34"/>
          <w:rtl w:val="0"/>
        </w:rPr>
        <w:t xml:space="preserve">Is Nomadic Housing Precarious?</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pastoral dwellings challenge the categories commonly used to think about precarity. Comparison with the “encampment of the world” theorized by anthropologist Michel Agier (2011) raises an essential question: do pastoral camps bear the marks of undesirability, informality, or insecurity? Shepherds in these regions have often experienced multiple forms of mobility, ranging from nomadism to exile. Through patchwork black tents, summer pasture shelters, and temporary settlements observed in Iraq, Armenia, and Azerbaijan, it becomes apparent that these forms of habitation reflect less a condition of imposed precarity than an adaptation to specific modes of mobility. The objects that compose these dwellings possess biographies of their own, closely intertwined with those of the herders who make, transport, and transform them throughout their journeys.</w:t>
      </w:r>
    </w:p>
    <w:p w:rsidR="00000000" w:rsidDel="00000000" w:rsidP="00000000" w:rsidRDefault="00000000" w:rsidRPr="00000000" w14:paraId="0000000F">
      <w:pPr>
        <w:pStyle w:val="Heading2"/>
        <w:keepNext w:val="0"/>
        <w:keepLines w:val="0"/>
        <w:spacing w:after="80" w:line="240" w:lineRule="auto"/>
        <w:jc w:val="both"/>
        <w:rPr>
          <w:rFonts w:ascii="Times New Roman" w:cs="Times New Roman" w:eastAsia="Times New Roman" w:hAnsi="Times New Roman"/>
          <w:b w:val="1"/>
          <w:bCs w:val="1"/>
          <w:sz w:val="34"/>
          <w:szCs w:val="34"/>
        </w:rPr>
      </w:pPr>
      <w:bookmarkStart w:colFirst="0" w:colLast="0" w:name="_vesk7xmvu7x3" w:id="7"/>
      <w:bookmarkEnd w:id="7"/>
      <w:r w:rsidDel="00000000" w:rsidR="00000000" w:rsidRPr="00000000">
        <w:rPr>
          <w:rFonts w:ascii="Times New Roman" w:cs="Times New Roman" w:eastAsia="Times New Roman" w:hAnsi="Times New Roman"/>
          <w:b w:val="1"/>
          <w:bCs w:val="1"/>
          <w:sz w:val="34"/>
          <w:szCs w:val="34"/>
          <w:rtl w:val="0"/>
        </w:rPr>
        <w:t xml:space="preserve">A Diplomatic Object?</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exhibition also focuses on </w:t>
      </w:r>
      <w:r w:rsidDel="00000000" w:rsidR="00000000" w:rsidRPr="00000000">
        <w:rPr>
          <w:rFonts w:ascii="Times New Roman" w:cs="Times New Roman" w:eastAsia="Times New Roman" w:hAnsi="Times New Roman"/>
          <w:i w:val="1"/>
          <w:iCs w:val="1"/>
          <w:sz w:val="24"/>
          <w:szCs w:val="24"/>
          <w:rtl w:val="0"/>
        </w:rPr>
        <w:t xml:space="preserve">çîkh</w:t>
      </w:r>
      <w:r w:rsidDel="00000000" w:rsidR="00000000" w:rsidRPr="00000000">
        <w:rPr>
          <w:rFonts w:ascii="Times New Roman" w:cs="Times New Roman" w:eastAsia="Times New Roman" w:hAnsi="Times New Roman"/>
          <w:sz w:val="24"/>
          <w:szCs w:val="24"/>
          <w:rtl w:val="0"/>
        </w:rPr>
        <w:t xml:space="preserve">, decorative or undecorated reed screens used as internal and external partitions beneath the fabric of black tents. Comparable objects can be found across a vast region stretching from Central Asia to the Middle East, among the Karakalpaks, Kyrgyz, Altaic populations, Turkmens, Bedouins, and Kurds. Particular attention is given to the ornamental screens used by nomadic families of Mantik tribal identity in Iraqi Kurdistan. These objects do not merely serve practical purposes: they also contribute to the staging of social and symbolic identities. Their display inside tents constitutes a genuine politics of display, revealing the status, affiliations, and social relations of the families who own them. </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these photographs and objects, </w:t>
      </w:r>
      <w:r w:rsidDel="00000000" w:rsidR="00000000" w:rsidRPr="00000000">
        <w:rPr>
          <w:rFonts w:ascii="Times New Roman" w:cs="Times New Roman" w:eastAsia="Times New Roman" w:hAnsi="Times New Roman"/>
          <w:i w:val="1"/>
          <w:iCs w:val="1"/>
          <w:sz w:val="24"/>
          <w:szCs w:val="24"/>
          <w:rtl w:val="0"/>
        </w:rPr>
        <w:t xml:space="preserve">Transhumances! A Geopolitics of Sheep</w:t>
      </w:r>
      <w:r w:rsidDel="00000000" w:rsidR="00000000" w:rsidRPr="00000000">
        <w:rPr>
          <w:rFonts w:ascii="Times New Roman" w:cs="Times New Roman" w:eastAsia="Times New Roman" w:hAnsi="Times New Roman"/>
          <w:sz w:val="24"/>
          <w:szCs w:val="24"/>
          <w:rtl w:val="0"/>
        </w:rPr>
        <w:t xml:space="preserve"> offers a reflection on pastoral mobility as a social, political, and material phenomenon. Far from being mere seasonal displacements, these mobilities constitute complex ways of inhabiting, moving through, and negotiating territories shaped by borders, conflicts, and exchanges.</w:t>
      </w:r>
    </w:p>
    <w:p w:rsidR="00000000" w:rsidDel="00000000" w:rsidP="00000000" w:rsidRDefault="00000000" w:rsidRPr="00000000" w14:paraId="0000001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