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9AF7" w14:textId="33240A48" w:rsidR="00D67AB3" w:rsidRDefault="00D67AB3" w:rsidP="00D67AB3">
      <w:pPr>
        <w:outlineLvl w:val="1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 xml:space="preserve">CONCEPT NOTE FOR HIGH-PROFILE PARLIAMENTARY </w:t>
      </w:r>
      <w:r w:rsidR="005347F7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>EVENT</w:t>
      </w: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 xml:space="preserve"> ON GLOBAL RANGELAND STEWARDSHIP</w:t>
      </w:r>
    </w:p>
    <w:p w14:paraId="5E0AAEDC" w14:textId="066942D0" w:rsidR="00155D58" w:rsidRPr="00D67AB3" w:rsidRDefault="00155D58" w:rsidP="00D67AB3">
      <w:pPr>
        <w:outlineLvl w:val="1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br/>
      </w:r>
      <w:r w:rsidRPr="00D67AB3">
        <w:rPr>
          <w:rFonts w:eastAsia="Times New Roman" w:cstheme="minorHAnsi"/>
          <w:b/>
          <w:bCs/>
          <w:color w:val="2C4551"/>
          <w:lang w:eastAsia="en-GB"/>
        </w:rPr>
        <w:t>Location:</w:t>
      </w:r>
      <w:r w:rsidRPr="00D67AB3">
        <w:rPr>
          <w:rFonts w:eastAsia="Times New Roman" w:cstheme="minorHAnsi"/>
          <w:color w:val="2C4551"/>
          <w:lang w:eastAsia="en-GB"/>
        </w:rPr>
        <w:t xml:space="preserve"> </w:t>
      </w:r>
      <w:r w:rsidR="006E21B0">
        <w:rPr>
          <w:rFonts w:eastAsia="Times New Roman" w:cstheme="minorHAnsi"/>
          <w:color w:val="2C4551"/>
          <w:lang w:eastAsia="en-GB"/>
        </w:rPr>
        <w:t xml:space="preserve">Cholmondeley Room and Terrace, </w:t>
      </w:r>
      <w:r w:rsidRPr="00D67AB3">
        <w:rPr>
          <w:rFonts w:eastAsia="Times New Roman" w:cstheme="minorHAnsi"/>
          <w:color w:val="2C4551"/>
          <w:lang w:eastAsia="en-GB"/>
        </w:rPr>
        <w:t>Parliament Buildings, United Kingdom</w:t>
      </w:r>
      <w:r w:rsidRPr="00D67AB3">
        <w:rPr>
          <w:rFonts w:eastAsia="Times New Roman" w:cstheme="minorHAnsi"/>
          <w:color w:val="2C4551"/>
          <w:lang w:eastAsia="en-GB"/>
        </w:rPr>
        <w:br/>
      </w:r>
      <w:r w:rsidRPr="00D67AB3">
        <w:rPr>
          <w:rFonts w:eastAsia="Times New Roman" w:cstheme="minorHAnsi"/>
          <w:b/>
          <w:bCs/>
          <w:color w:val="2C4551"/>
          <w:lang w:eastAsia="en-GB"/>
        </w:rPr>
        <w:t>Date:</w:t>
      </w:r>
      <w:r w:rsidRPr="00D67AB3">
        <w:rPr>
          <w:rFonts w:eastAsia="Times New Roman" w:cstheme="minorHAnsi"/>
          <w:color w:val="2C4551"/>
          <w:lang w:eastAsia="en-GB"/>
        </w:rPr>
        <w:t xml:space="preserve"> </w:t>
      </w:r>
      <w:r w:rsidR="00993B37">
        <w:rPr>
          <w:rFonts w:eastAsia="Times New Roman" w:cstheme="minorHAnsi"/>
          <w:color w:val="2C4551"/>
          <w:lang w:eastAsia="en-GB"/>
        </w:rPr>
        <w:t xml:space="preserve">February 25, 15:30-17:00 </w:t>
      </w:r>
      <w:r w:rsidRPr="00D67AB3">
        <w:rPr>
          <w:rFonts w:eastAsia="Times New Roman" w:cstheme="minorHAnsi"/>
          <w:color w:val="2C4551"/>
          <w:lang w:eastAsia="en-GB"/>
        </w:rPr>
        <w:t>(Aligned with Roadmap to UNCCD COP 17)</w:t>
      </w:r>
    </w:p>
    <w:p w14:paraId="0CA7E9CC" w14:textId="77777777" w:rsid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27"/>
          <w:szCs w:val="27"/>
          <w:lang w:eastAsia="en-GB"/>
        </w:rPr>
      </w:pPr>
    </w:p>
    <w:p w14:paraId="5AE311BA" w14:textId="20C0E904" w:rsidR="00155D58" w:rsidRDefault="00155D58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>Host &amp; Collaborating Partners</w:t>
      </w:r>
    </w:p>
    <w:p w14:paraId="23B7F0E2" w14:textId="77777777" w:rsidR="00D67AB3" w:rsidRP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10"/>
          <w:szCs w:val="10"/>
          <w:lang w:eastAsia="en-GB"/>
        </w:rPr>
      </w:pPr>
    </w:p>
    <w:p w14:paraId="28FFBCDA" w14:textId="4494288B" w:rsidR="00993B37" w:rsidRDefault="00993B37" w:rsidP="00D67AB3">
      <w:pPr>
        <w:numPr>
          <w:ilvl w:val="0"/>
          <w:numId w:val="1"/>
        </w:num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color w:val="2C4551"/>
          <w:lang w:eastAsia="en-GB"/>
        </w:rPr>
        <w:t>Host: Lindsay Northover, Baroness Northover</w:t>
      </w:r>
    </w:p>
    <w:p w14:paraId="0B4E84F3" w14:textId="216E6194" w:rsidR="009A0868" w:rsidRPr="009A0868" w:rsidRDefault="009A0868" w:rsidP="009A0868">
      <w:pPr>
        <w:numPr>
          <w:ilvl w:val="0"/>
          <w:numId w:val="1"/>
        </w:numPr>
        <w:rPr>
          <w:rFonts w:eastAsia="Times New Roman" w:cstheme="minorHAnsi"/>
          <w:color w:val="2C4551"/>
          <w:lang w:eastAsia="en-GB"/>
        </w:rPr>
      </w:pPr>
      <w:r w:rsidRPr="000B5C01">
        <w:rPr>
          <w:rFonts w:eastAsia="Times New Roman" w:cstheme="minorHAnsi"/>
          <w:color w:val="2C4551"/>
          <w:lang w:eastAsia="en-GB"/>
        </w:rPr>
        <w:t>Embassy of Mongolia in London</w:t>
      </w:r>
    </w:p>
    <w:p w14:paraId="567267F2" w14:textId="78CDD418" w:rsidR="00993B37" w:rsidRDefault="0007623D" w:rsidP="00D67AB3">
      <w:pPr>
        <w:numPr>
          <w:ilvl w:val="0"/>
          <w:numId w:val="1"/>
        </w:num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color w:val="2C4551"/>
          <w:lang w:eastAsia="en-GB"/>
        </w:rPr>
        <w:t>Mongolian</w:t>
      </w:r>
      <w:r w:rsidR="00E02ECE">
        <w:rPr>
          <w:rFonts w:eastAsia="Times New Roman" w:cstheme="minorHAnsi"/>
          <w:color w:val="2C4551"/>
          <w:lang w:eastAsia="en-GB"/>
        </w:rPr>
        <w:t xml:space="preserve"> </w:t>
      </w:r>
      <w:r w:rsidR="00993B37">
        <w:rPr>
          <w:rFonts w:eastAsia="Times New Roman" w:cstheme="minorHAnsi"/>
          <w:color w:val="2C4551"/>
          <w:lang w:eastAsia="en-GB"/>
        </w:rPr>
        <w:t>British Chamber of Commerce</w:t>
      </w:r>
      <w:r w:rsidR="00B50902">
        <w:rPr>
          <w:rFonts w:eastAsia="Times New Roman" w:cstheme="minorHAnsi"/>
          <w:color w:val="2C4551"/>
          <w:lang w:eastAsia="en-GB"/>
        </w:rPr>
        <w:t xml:space="preserve"> (MBCC)</w:t>
      </w:r>
    </w:p>
    <w:p w14:paraId="542BE44F" w14:textId="7C2299C7" w:rsidR="00155D58" w:rsidRPr="008F38B4" w:rsidRDefault="00155D58" w:rsidP="00D67AB3">
      <w:pPr>
        <w:numPr>
          <w:ilvl w:val="0"/>
          <w:numId w:val="1"/>
        </w:numPr>
        <w:rPr>
          <w:rFonts w:eastAsia="Times New Roman" w:cstheme="minorHAnsi"/>
          <w:color w:val="2C4551"/>
          <w:lang w:eastAsia="en-GB"/>
        </w:rPr>
      </w:pPr>
      <w:r w:rsidRPr="008F38B4">
        <w:rPr>
          <w:rFonts w:eastAsia="Times New Roman" w:cstheme="minorHAnsi"/>
          <w:color w:val="2C4551"/>
          <w:lang w:eastAsia="en-GB"/>
        </w:rPr>
        <w:t>Rangeland Stewardship Council (RSC)</w:t>
      </w:r>
      <w:r w:rsidR="00993B37" w:rsidRPr="008F38B4">
        <w:rPr>
          <w:rFonts w:eastAsia="Times New Roman" w:cstheme="minorHAnsi"/>
          <w:color w:val="2C4551"/>
          <w:lang w:eastAsia="en-GB"/>
        </w:rPr>
        <w:t xml:space="preserve"> / Sustainable Fibre Alliance (SFA)</w:t>
      </w:r>
    </w:p>
    <w:p w14:paraId="32E29F70" w14:textId="59920083" w:rsidR="00155D58" w:rsidRDefault="00155D58" w:rsidP="00D67AB3">
      <w:pPr>
        <w:numPr>
          <w:ilvl w:val="0"/>
          <w:numId w:val="1"/>
        </w:numPr>
        <w:rPr>
          <w:rFonts w:eastAsia="Times New Roman" w:cstheme="minorHAnsi"/>
          <w:color w:val="2C4551"/>
          <w:lang w:eastAsia="en-GB"/>
        </w:rPr>
      </w:pPr>
      <w:r w:rsidRPr="008F38B4">
        <w:rPr>
          <w:rFonts w:eastAsia="Times New Roman" w:cstheme="minorHAnsi"/>
          <w:color w:val="2C4551"/>
          <w:lang w:eastAsia="en-GB"/>
        </w:rPr>
        <w:t>United Nations Convention to Combat Desertification (UNCCD)</w:t>
      </w:r>
      <w:r w:rsidR="006E21B0">
        <w:rPr>
          <w:rFonts w:eastAsia="Times New Roman" w:cstheme="minorHAnsi"/>
          <w:color w:val="2C4551"/>
          <w:lang w:eastAsia="en-GB"/>
        </w:rPr>
        <w:t xml:space="preserve"> </w:t>
      </w:r>
    </w:p>
    <w:p w14:paraId="3F3CFDF9" w14:textId="77777777" w:rsidR="00155D58" w:rsidRPr="00D67AB3" w:rsidRDefault="00BC6978" w:rsidP="00D67AB3">
      <w:p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noProof/>
          <w:color w:val="2C4551"/>
          <w:lang w:eastAsia="en-GB"/>
        </w:rPr>
        <w:pict w14:anchorId="40AD835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D966C45" w14:textId="77777777" w:rsid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27"/>
          <w:szCs w:val="27"/>
          <w:lang w:eastAsia="en-GB"/>
        </w:rPr>
      </w:pPr>
    </w:p>
    <w:p w14:paraId="21E81B17" w14:textId="6C7E0DA6" w:rsidR="00155D58" w:rsidRDefault="00155D58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>Context &amp; Rationale</w:t>
      </w:r>
    </w:p>
    <w:p w14:paraId="3ADE8653" w14:textId="77777777" w:rsidR="00D67AB3" w:rsidRP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10"/>
          <w:szCs w:val="10"/>
          <w:lang w:eastAsia="en-GB"/>
        </w:rPr>
      </w:pPr>
    </w:p>
    <w:p w14:paraId="60640ED4" w14:textId="12FABB8A" w:rsidR="00155D58" w:rsidRPr="00D67AB3" w:rsidRDefault="00155D58" w:rsidP="00D67AB3">
      <w:p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 xml:space="preserve">Rangelands support the livelihoods of over 2 billion people worldwide and represent some of the largest carbon stores and biodiversity hotspots on the planet. Despite this global importance, rangelands remain under-represented in climate and biodiversity decision-making. COP 17 </w:t>
      </w:r>
      <w:r w:rsidR="006424ED">
        <w:rPr>
          <w:rFonts w:eastAsia="Times New Roman" w:cstheme="minorHAnsi"/>
          <w:color w:val="2C4551"/>
          <w:lang w:eastAsia="en-GB"/>
        </w:rPr>
        <w:t xml:space="preserve">and the UN-designated International Year of Rangelands and Pastoralists </w:t>
      </w:r>
      <w:r w:rsidRPr="00D67AB3">
        <w:rPr>
          <w:rFonts w:eastAsia="Times New Roman" w:cstheme="minorHAnsi"/>
          <w:color w:val="2C4551"/>
          <w:lang w:eastAsia="en-GB"/>
        </w:rPr>
        <w:t>provide an opportunity to elevate rangelands as critical to addressing land degradation, climate risks, and community resilience.</w:t>
      </w:r>
    </w:p>
    <w:p w14:paraId="729974A3" w14:textId="77777777" w:rsidR="00993B37" w:rsidRDefault="00993B37" w:rsidP="00D67AB3">
      <w:pPr>
        <w:rPr>
          <w:rFonts w:eastAsia="Times New Roman" w:cstheme="minorHAnsi"/>
          <w:color w:val="2C4551"/>
          <w:lang w:eastAsia="en-GB"/>
        </w:rPr>
      </w:pPr>
    </w:p>
    <w:p w14:paraId="7999D42C" w14:textId="4E1A44F6" w:rsidR="00155D58" w:rsidRPr="00D67AB3" w:rsidRDefault="00155D58" w:rsidP="00D67AB3">
      <w:p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The Parliament event brings together diplomatic, funding, business and policy leadership to</w:t>
      </w:r>
      <w:r w:rsidR="009A0868">
        <w:rPr>
          <w:rFonts w:eastAsia="Times New Roman" w:cstheme="minorHAnsi"/>
          <w:color w:val="2C4551"/>
          <w:lang w:eastAsia="en-GB"/>
        </w:rPr>
        <w:t xml:space="preserve"> </w:t>
      </w:r>
      <w:r w:rsidR="009A0868" w:rsidRPr="009A0868">
        <w:rPr>
          <w:rFonts w:eastAsia="Times New Roman" w:cstheme="minorHAnsi"/>
          <w:color w:val="2C4551"/>
          <w:lang w:eastAsia="en-GB"/>
        </w:rPr>
        <w:t>highlight the United Nations International Year of Rangelands and Pastoralists (2026) and serve as the UK launch of UNCCD COP17</w:t>
      </w:r>
      <w:r w:rsidRPr="00D67AB3">
        <w:rPr>
          <w:rFonts w:eastAsia="Times New Roman" w:cstheme="minorHAnsi"/>
          <w:color w:val="2C4551"/>
          <w:lang w:eastAsia="en-GB"/>
        </w:rPr>
        <w:t>.</w:t>
      </w:r>
    </w:p>
    <w:p w14:paraId="1D6D912D" w14:textId="77777777" w:rsidR="00155D58" w:rsidRPr="00D67AB3" w:rsidRDefault="00BC6978" w:rsidP="00D67AB3">
      <w:p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noProof/>
          <w:color w:val="2C4551"/>
          <w:lang w:eastAsia="en-GB"/>
        </w:rPr>
        <w:pict w14:anchorId="5B94AC5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3CBCCD5" w14:textId="77777777" w:rsidR="00D67AB3" w:rsidRP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p w14:paraId="0F672220" w14:textId="05D40316" w:rsidR="00155D58" w:rsidRDefault="00155D58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>Objectives</w:t>
      </w:r>
    </w:p>
    <w:p w14:paraId="318709CE" w14:textId="77777777" w:rsidR="00D67AB3" w:rsidRP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10"/>
          <w:szCs w:val="10"/>
          <w:lang w:eastAsia="en-GB"/>
        </w:rPr>
      </w:pPr>
    </w:p>
    <w:p w14:paraId="0294D0A3" w14:textId="5DF9B6E9" w:rsidR="00155D58" w:rsidRDefault="00155D58" w:rsidP="00D67AB3">
      <w:pPr>
        <w:numPr>
          <w:ilvl w:val="0"/>
          <w:numId w:val="2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Raise awareness of rangelands as a strategic climate and development priority.</w:t>
      </w:r>
    </w:p>
    <w:p w14:paraId="4FEADFDC" w14:textId="77777777" w:rsidR="00D67AB3" w:rsidRPr="00D67AB3" w:rsidRDefault="00D67AB3" w:rsidP="00D67AB3">
      <w:pPr>
        <w:ind w:left="720"/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2214BABC" w14:textId="3793C3FD" w:rsidR="00155D58" w:rsidRDefault="00155D58" w:rsidP="00D67AB3">
      <w:pPr>
        <w:numPr>
          <w:ilvl w:val="0"/>
          <w:numId w:val="2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 xml:space="preserve">Engage global stakeholders in the lead-up to COP 17 </w:t>
      </w:r>
      <w:r w:rsidR="006E21B0">
        <w:rPr>
          <w:rFonts w:eastAsia="Times New Roman" w:cstheme="minorHAnsi"/>
          <w:color w:val="2C4551"/>
          <w:lang w:eastAsia="en-GB"/>
        </w:rPr>
        <w:t xml:space="preserve">and during the International Year of Rangelands and Pastoralists (IYRP) </w:t>
      </w:r>
      <w:r w:rsidRPr="00D67AB3">
        <w:rPr>
          <w:rFonts w:eastAsia="Times New Roman" w:cstheme="minorHAnsi"/>
          <w:color w:val="2C4551"/>
          <w:lang w:eastAsia="en-GB"/>
        </w:rPr>
        <w:t>— increasing representation of rangeland countries.</w:t>
      </w:r>
    </w:p>
    <w:p w14:paraId="5159720F" w14:textId="77777777" w:rsidR="00D67AB3" w:rsidRPr="00D67AB3" w:rsidRDefault="00D67AB3" w:rsidP="00D67AB3">
      <w:pPr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104C76A6" w14:textId="25B9B37C" w:rsidR="00155D58" w:rsidRDefault="00155D58" w:rsidP="00D67AB3">
      <w:pPr>
        <w:numPr>
          <w:ilvl w:val="0"/>
          <w:numId w:val="2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Showcase private sector and philanthropic leadership — with luxury and consumer brands sourcing animal fibres (e.g., cashmere) demonstrating responsibility and partnership.</w:t>
      </w:r>
    </w:p>
    <w:p w14:paraId="6027585D" w14:textId="77777777" w:rsidR="00D67AB3" w:rsidRPr="00D67AB3" w:rsidRDefault="00D67AB3" w:rsidP="00D67AB3">
      <w:pPr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60707932" w14:textId="77777777" w:rsidR="00155D58" w:rsidRPr="00D67AB3" w:rsidRDefault="00155D58" w:rsidP="00D67AB3">
      <w:pPr>
        <w:numPr>
          <w:ilvl w:val="0"/>
          <w:numId w:val="2"/>
        </w:numPr>
        <w:rPr>
          <w:rFonts w:eastAsia="Times New Roman" w:cstheme="minorHAnsi"/>
          <w:color w:val="2C4551"/>
          <w:lang w:eastAsia="en-GB"/>
        </w:rPr>
      </w:pPr>
      <w:r w:rsidRPr="00C572A9">
        <w:rPr>
          <w:rFonts w:eastAsia="Times New Roman" w:cstheme="minorHAnsi"/>
          <w:b/>
          <w:bCs/>
          <w:color w:val="2C4551"/>
          <w:lang w:eastAsia="en-GB"/>
        </w:rPr>
        <w:t>Introduce</w:t>
      </w:r>
      <w:r w:rsidRPr="00D67AB3">
        <w:rPr>
          <w:rFonts w:eastAsia="Times New Roman" w:cstheme="minorHAnsi"/>
          <w:color w:val="2C4551"/>
          <w:lang w:eastAsia="en-GB"/>
        </w:rPr>
        <w:t xml:space="preserve"> key RSC initiatives:</w:t>
      </w:r>
    </w:p>
    <w:p w14:paraId="515C56FF" w14:textId="55A2649A" w:rsidR="005F7E2F" w:rsidRPr="005F7E2F" w:rsidRDefault="00155D58" w:rsidP="005F7E2F">
      <w:pPr>
        <w:numPr>
          <w:ilvl w:val="1"/>
          <w:numId w:val="2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 xml:space="preserve">The Rangeland White Paper — </w:t>
      </w:r>
      <w:r w:rsidR="00C572A9">
        <w:rPr>
          <w:rFonts w:eastAsia="Times New Roman" w:cstheme="minorHAnsi"/>
          <w:color w:val="2C4551"/>
          <w:lang w:eastAsia="en-GB"/>
        </w:rPr>
        <w:t>a</w:t>
      </w:r>
      <w:r w:rsidRPr="00D67AB3">
        <w:rPr>
          <w:rFonts w:eastAsia="Times New Roman" w:cstheme="minorHAnsi"/>
          <w:color w:val="2C4551"/>
          <w:lang w:eastAsia="en-GB"/>
        </w:rPr>
        <w:t xml:space="preserve"> policy document for global alignment.</w:t>
      </w:r>
    </w:p>
    <w:p w14:paraId="03917E16" w14:textId="21D6BA2F" w:rsidR="00155D58" w:rsidRDefault="00155D58" w:rsidP="00D67AB3">
      <w:pPr>
        <w:numPr>
          <w:ilvl w:val="1"/>
          <w:numId w:val="2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The Global Rangeland Fund — a financing vehicle enabling investment in sustainable rangeland management.</w:t>
      </w:r>
    </w:p>
    <w:p w14:paraId="45B17125" w14:textId="77777777" w:rsidR="00D67AB3" w:rsidRPr="00D67AB3" w:rsidRDefault="00D67AB3" w:rsidP="00D67AB3">
      <w:pPr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7F9EB894" w14:textId="77777777" w:rsidR="00155D58" w:rsidRPr="00D67AB3" w:rsidRDefault="00155D58" w:rsidP="00D67AB3">
      <w:pPr>
        <w:numPr>
          <w:ilvl w:val="0"/>
          <w:numId w:val="2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Strengthen dialogue between governments, funders, and producer communities on enabling equitable transition.</w:t>
      </w:r>
    </w:p>
    <w:p w14:paraId="071BF483" w14:textId="77777777" w:rsidR="00155D58" w:rsidRPr="00D67AB3" w:rsidRDefault="00BC6978" w:rsidP="00D67AB3">
      <w:p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noProof/>
          <w:color w:val="2C4551"/>
          <w:lang w:eastAsia="en-GB"/>
        </w:rPr>
        <w:pict w14:anchorId="71A4A2F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25DD305" w14:textId="77777777" w:rsid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27"/>
          <w:szCs w:val="27"/>
          <w:lang w:eastAsia="en-GB"/>
        </w:rPr>
      </w:pPr>
    </w:p>
    <w:p w14:paraId="1467667B" w14:textId="77777777" w:rsidR="00B840E6" w:rsidRDefault="00B840E6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p w14:paraId="09DD0737" w14:textId="77777777" w:rsidR="00B840E6" w:rsidRDefault="00B840E6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p w14:paraId="56800B0C" w14:textId="5DD32FC8" w:rsidR="00155D58" w:rsidRPr="00D67AB3" w:rsidRDefault="00155D58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>Target Participants</w:t>
      </w:r>
    </w:p>
    <w:p w14:paraId="30EDC253" w14:textId="77777777" w:rsidR="00D67AB3" w:rsidRP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10"/>
          <w:szCs w:val="10"/>
          <w:lang w:eastAsia="en-GB"/>
        </w:rPr>
      </w:pPr>
    </w:p>
    <w:p w14:paraId="0934B3D0" w14:textId="77777777" w:rsidR="00155D58" w:rsidRPr="00D67AB3" w:rsidRDefault="00155D58" w:rsidP="00D67AB3">
      <w:pPr>
        <w:numPr>
          <w:ilvl w:val="0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Diplomatic Missions / Embassies from rangeland countries:</w:t>
      </w:r>
    </w:p>
    <w:p w14:paraId="45E2EDFB" w14:textId="4670FCC2" w:rsidR="00155D58" w:rsidRDefault="00155D58" w:rsidP="00D67AB3">
      <w:pPr>
        <w:numPr>
          <w:ilvl w:val="1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e.g., Mongolia, Kazakhstan, Saudi Arabia, Kenya, Ethiopia, Namibia, Argentina</w:t>
      </w:r>
    </w:p>
    <w:p w14:paraId="779D7D1C" w14:textId="77777777" w:rsidR="00CF7AB2" w:rsidRPr="00CF7AB2" w:rsidRDefault="00CF7AB2" w:rsidP="00CF7AB2">
      <w:pPr>
        <w:ind w:left="1440"/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2DD09199" w14:textId="77777777" w:rsidR="00155D58" w:rsidRPr="00D67AB3" w:rsidRDefault="00155D58" w:rsidP="00D67AB3">
      <w:pPr>
        <w:numPr>
          <w:ilvl w:val="0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Strategic Funders &amp; Government Representatives</w:t>
      </w:r>
    </w:p>
    <w:p w14:paraId="356E6523" w14:textId="77777777" w:rsidR="00155D58" w:rsidRPr="00D67AB3" w:rsidRDefault="00155D58" w:rsidP="00D67AB3">
      <w:pPr>
        <w:numPr>
          <w:ilvl w:val="1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High-level delegation from the Saudi Government</w:t>
      </w:r>
    </w:p>
    <w:p w14:paraId="672ABF49" w14:textId="6FD584D1" w:rsidR="00155D58" w:rsidRDefault="00155D58" w:rsidP="00D67AB3">
      <w:pPr>
        <w:numPr>
          <w:ilvl w:val="1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International financial institutions and climate funds</w:t>
      </w:r>
    </w:p>
    <w:p w14:paraId="6D554A9F" w14:textId="77777777" w:rsidR="00CF7AB2" w:rsidRPr="00CF7AB2" w:rsidRDefault="00CF7AB2" w:rsidP="00CF7AB2">
      <w:pPr>
        <w:ind w:left="1440"/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6DF94FF9" w14:textId="77777777" w:rsidR="00155D58" w:rsidRPr="00D67AB3" w:rsidRDefault="00155D58" w:rsidP="00D67AB3">
      <w:pPr>
        <w:numPr>
          <w:ilvl w:val="0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Brand &amp; Supply Chain Partners</w:t>
      </w:r>
    </w:p>
    <w:p w14:paraId="107DF859" w14:textId="7C1CA9F9" w:rsidR="00155D58" w:rsidRDefault="00155D58" w:rsidP="00D67AB3">
      <w:pPr>
        <w:numPr>
          <w:ilvl w:val="1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Including LVMH (invited keynote intervention on sourcing, livelihoods and land stewardship)</w:t>
      </w:r>
    </w:p>
    <w:p w14:paraId="72B1AB2B" w14:textId="77777777" w:rsidR="00CF7AB2" w:rsidRPr="00CF7AB2" w:rsidRDefault="00CF7AB2" w:rsidP="00CF7AB2">
      <w:pPr>
        <w:ind w:left="1440"/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4BAD2F98" w14:textId="526B9A0E" w:rsidR="00155D58" w:rsidRPr="00D67AB3" w:rsidRDefault="00155D58" w:rsidP="00D67AB3">
      <w:pPr>
        <w:numPr>
          <w:ilvl w:val="0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 xml:space="preserve">UN Agencies and </w:t>
      </w:r>
      <w:r w:rsidR="00CF7AB2">
        <w:rPr>
          <w:rFonts w:eastAsia="Times New Roman" w:cstheme="minorHAnsi"/>
          <w:color w:val="2C4551"/>
          <w:lang w:eastAsia="en-GB"/>
        </w:rPr>
        <w:t>NGO</w:t>
      </w:r>
      <w:r w:rsidRPr="00D67AB3">
        <w:rPr>
          <w:rFonts w:eastAsia="Times New Roman" w:cstheme="minorHAnsi"/>
          <w:color w:val="2C4551"/>
          <w:lang w:eastAsia="en-GB"/>
        </w:rPr>
        <w:t xml:space="preserve"> Networks</w:t>
      </w:r>
    </w:p>
    <w:p w14:paraId="4E07BC13" w14:textId="5EC2420F" w:rsidR="00155D58" w:rsidRDefault="00155D58" w:rsidP="00D67AB3">
      <w:pPr>
        <w:numPr>
          <w:ilvl w:val="1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UNCCD, FAO, GEF, IUCN, ILRI</w:t>
      </w:r>
      <w:r w:rsidR="003E4420">
        <w:rPr>
          <w:rFonts w:eastAsia="Times New Roman" w:cstheme="minorHAnsi"/>
          <w:color w:val="2C4551"/>
          <w:lang w:eastAsia="en-GB"/>
        </w:rPr>
        <w:t>, IYRP GA</w:t>
      </w:r>
    </w:p>
    <w:p w14:paraId="1E11EAD2" w14:textId="77777777" w:rsidR="00CF7AB2" w:rsidRPr="00CF7AB2" w:rsidRDefault="00CF7AB2" w:rsidP="00CF7AB2">
      <w:pPr>
        <w:ind w:left="1440"/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19C70749" w14:textId="306A3D47" w:rsidR="00155D58" w:rsidRDefault="00155D58" w:rsidP="00D67AB3">
      <w:pPr>
        <w:numPr>
          <w:ilvl w:val="0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UK Parliamentarians and policy advisers</w:t>
      </w:r>
    </w:p>
    <w:p w14:paraId="76BD8F1A" w14:textId="77777777" w:rsidR="00CF7AB2" w:rsidRPr="00CF7AB2" w:rsidRDefault="00CF7AB2" w:rsidP="00CF7AB2">
      <w:pPr>
        <w:ind w:left="720"/>
        <w:rPr>
          <w:rFonts w:eastAsia="Times New Roman" w:cstheme="minorHAnsi"/>
          <w:color w:val="2C4551"/>
          <w:sz w:val="10"/>
          <w:szCs w:val="10"/>
          <w:lang w:eastAsia="en-GB"/>
        </w:rPr>
      </w:pPr>
    </w:p>
    <w:p w14:paraId="036F41F5" w14:textId="77777777" w:rsidR="00155D58" w:rsidRPr="00D67AB3" w:rsidRDefault="00155D58" w:rsidP="00D67AB3">
      <w:pPr>
        <w:numPr>
          <w:ilvl w:val="0"/>
          <w:numId w:val="3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Scientific and civil society leaders</w:t>
      </w:r>
    </w:p>
    <w:p w14:paraId="5E41FD96" w14:textId="77777777" w:rsidR="00155D58" w:rsidRPr="00D67AB3" w:rsidRDefault="00BC6978" w:rsidP="00D67AB3">
      <w:p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noProof/>
          <w:color w:val="2C4551"/>
          <w:lang w:eastAsia="en-GB"/>
        </w:rPr>
        <w:pict w14:anchorId="540C559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519F934" w14:textId="77777777" w:rsid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27"/>
          <w:szCs w:val="27"/>
          <w:lang w:eastAsia="en-GB"/>
        </w:rPr>
      </w:pPr>
    </w:p>
    <w:p w14:paraId="24AA5C6E" w14:textId="18F1ADC1" w:rsidR="00155D58" w:rsidRPr="00960939" w:rsidRDefault="00155D58" w:rsidP="00D67AB3">
      <w:pPr>
        <w:outlineLvl w:val="2"/>
        <w:rPr>
          <w:rFonts w:eastAsia="Times New Roman" w:cstheme="minorHAnsi"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>Proposed Programme Highlights</w:t>
      </w:r>
      <w:r w:rsidR="00960939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 xml:space="preserve"> </w:t>
      </w:r>
      <w:r w:rsidR="00960939">
        <w:rPr>
          <w:rFonts w:eastAsia="Times New Roman" w:cstheme="minorHAnsi"/>
          <w:color w:val="2C4551"/>
          <w:sz w:val="28"/>
          <w:szCs w:val="28"/>
          <w:lang w:eastAsia="en-GB"/>
        </w:rPr>
        <w:t>(short speeches)</w:t>
      </w:r>
    </w:p>
    <w:p w14:paraId="5864DF28" w14:textId="77777777" w:rsidR="00D67AB3" w:rsidRP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678"/>
        <w:gridCol w:w="2647"/>
      </w:tblGrid>
      <w:tr w:rsidR="00785951" w:rsidRPr="00D67AB3" w14:paraId="19DAB64E" w14:textId="77777777" w:rsidTr="00F846BB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36A8A1E2" w14:textId="77777777" w:rsidR="00155D58" w:rsidRPr="00D67AB3" w:rsidRDefault="00155D58" w:rsidP="00993B37">
            <w:pPr>
              <w:rPr>
                <w:rFonts w:eastAsia="Times New Roman" w:cstheme="minorHAnsi"/>
                <w:b/>
                <w:bCs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b/>
                <w:bCs/>
                <w:color w:val="2C4551"/>
                <w:lang w:eastAsia="en-GB"/>
              </w:rPr>
              <w:t>Segment</w:t>
            </w:r>
          </w:p>
        </w:tc>
        <w:tc>
          <w:tcPr>
            <w:tcW w:w="4648" w:type="dxa"/>
            <w:vAlign w:val="center"/>
            <w:hideMark/>
          </w:tcPr>
          <w:p w14:paraId="7E571E3C" w14:textId="77777777" w:rsidR="00155D58" w:rsidRPr="00D67AB3" w:rsidRDefault="00155D58" w:rsidP="00993B37">
            <w:pPr>
              <w:rPr>
                <w:rFonts w:eastAsia="Times New Roman" w:cstheme="minorHAnsi"/>
                <w:b/>
                <w:bCs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b/>
                <w:bCs/>
                <w:color w:val="2C4551"/>
                <w:lang w:eastAsia="en-GB"/>
              </w:rPr>
              <w:t>Purpose</w:t>
            </w:r>
          </w:p>
        </w:tc>
        <w:tc>
          <w:tcPr>
            <w:tcW w:w="2602" w:type="dxa"/>
            <w:vAlign w:val="center"/>
            <w:hideMark/>
          </w:tcPr>
          <w:p w14:paraId="6F2FDA68" w14:textId="77777777" w:rsidR="00155D58" w:rsidRPr="00D67AB3" w:rsidRDefault="00155D58" w:rsidP="00993B37">
            <w:pPr>
              <w:rPr>
                <w:rFonts w:eastAsia="Times New Roman" w:cstheme="minorHAnsi"/>
                <w:b/>
                <w:bCs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b/>
                <w:bCs/>
                <w:color w:val="2C4551"/>
                <w:lang w:eastAsia="en-GB"/>
              </w:rPr>
              <w:t>Lead</w:t>
            </w:r>
          </w:p>
        </w:tc>
      </w:tr>
      <w:tr w:rsidR="00785951" w:rsidRPr="00D67AB3" w14:paraId="46F37C4B" w14:textId="77777777" w:rsidTr="00F846BB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6907ED0" w14:textId="09C02CEF" w:rsidR="00155D58" w:rsidRPr="00D67AB3" w:rsidRDefault="00155D58" w:rsidP="00993B37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>Opening remarks</w:t>
            </w:r>
          </w:p>
        </w:tc>
        <w:tc>
          <w:tcPr>
            <w:tcW w:w="4648" w:type="dxa"/>
            <w:vAlign w:val="center"/>
            <w:hideMark/>
          </w:tcPr>
          <w:p w14:paraId="205DDF69" w14:textId="29461FCD" w:rsidR="00155D58" w:rsidRPr="00D67AB3" w:rsidRDefault="00F846BB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Welcome and scene-setting</w:t>
            </w:r>
          </w:p>
        </w:tc>
        <w:tc>
          <w:tcPr>
            <w:tcW w:w="2602" w:type="dxa"/>
            <w:vAlign w:val="center"/>
            <w:hideMark/>
          </w:tcPr>
          <w:p w14:paraId="4C507DB6" w14:textId="193B3B4B" w:rsidR="00155D58" w:rsidRPr="00D67AB3" w:rsidRDefault="00AE0E8D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Baroness Northover</w:t>
            </w:r>
          </w:p>
        </w:tc>
      </w:tr>
      <w:tr w:rsidR="00785951" w:rsidRPr="00D67AB3" w14:paraId="1770FA3C" w14:textId="77777777" w:rsidTr="00F846BB">
        <w:trPr>
          <w:tblCellSpacing w:w="15" w:type="dxa"/>
        </w:trPr>
        <w:tc>
          <w:tcPr>
            <w:tcW w:w="1656" w:type="dxa"/>
            <w:vAlign w:val="center"/>
          </w:tcPr>
          <w:p w14:paraId="5EEF4165" w14:textId="5D7C8195" w:rsidR="00AC2B5C" w:rsidRDefault="00AC2B5C" w:rsidP="00993B37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  <w:p w14:paraId="2C56CFF1" w14:textId="5FB8ABDD" w:rsidR="00F846BB" w:rsidRDefault="00F846BB" w:rsidP="00993B37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Welcome</w:t>
            </w:r>
          </w:p>
          <w:p w14:paraId="0C842007" w14:textId="682F229E" w:rsidR="00AC2B5C" w:rsidRDefault="00F846BB" w:rsidP="00993B37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address:</w:t>
            </w:r>
          </w:p>
          <w:p w14:paraId="2C4B0AE9" w14:textId="466B6053" w:rsidR="00AE0E8D" w:rsidRPr="00D67AB3" w:rsidRDefault="00AE0E8D" w:rsidP="00993B37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</w:tc>
        <w:tc>
          <w:tcPr>
            <w:tcW w:w="4648" w:type="dxa"/>
            <w:vAlign w:val="center"/>
          </w:tcPr>
          <w:p w14:paraId="3A0C74C5" w14:textId="77777777" w:rsidR="00AC2B5C" w:rsidRDefault="00AC2B5C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  <w:p w14:paraId="128D9AE8" w14:textId="022F16A7" w:rsidR="00AC2B5C" w:rsidRDefault="00F846BB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Parliamentary perspective on rangelands</w:t>
            </w:r>
          </w:p>
          <w:p w14:paraId="55EE4597" w14:textId="205B3948" w:rsidR="00AE0E8D" w:rsidRPr="00D67AB3" w:rsidRDefault="00AE0E8D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</w:tc>
        <w:tc>
          <w:tcPr>
            <w:tcW w:w="2602" w:type="dxa"/>
            <w:vAlign w:val="center"/>
          </w:tcPr>
          <w:p w14:paraId="30F08D7E" w14:textId="4E45CF0F" w:rsidR="00AE0E8D" w:rsidRDefault="00E32BD4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Representative of the APPG</w:t>
            </w:r>
          </w:p>
        </w:tc>
      </w:tr>
      <w:tr w:rsidR="00785951" w:rsidRPr="00D67AB3" w14:paraId="3A33845C" w14:textId="77777777" w:rsidTr="00F846BB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5F42689" w14:textId="281DD25F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>Keynote: UNCCD</w:t>
            </w:r>
            <w:r w:rsidR="00F846BB">
              <w:rPr>
                <w:rFonts w:eastAsia="Times New Roman" w:cstheme="minorHAnsi"/>
                <w:color w:val="2C4551"/>
                <w:lang w:eastAsia="en-GB"/>
              </w:rPr>
              <w:t>&amp;IYRP</w:t>
            </w:r>
          </w:p>
        </w:tc>
        <w:tc>
          <w:tcPr>
            <w:tcW w:w="4648" w:type="dxa"/>
            <w:vAlign w:val="center"/>
            <w:hideMark/>
          </w:tcPr>
          <w:p w14:paraId="2BC9467E" w14:textId="77777777" w:rsidR="00155D58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>Importance of rangelands in global land agenda</w:t>
            </w:r>
            <w:r w:rsidR="00F846BB">
              <w:rPr>
                <w:rFonts w:eastAsia="Times New Roman" w:cstheme="minorHAnsi"/>
                <w:color w:val="2C4551"/>
                <w:lang w:eastAsia="en-GB"/>
              </w:rPr>
              <w:t>, the International Year of Rangelands and Pastoralists (IYRP)</w:t>
            </w:r>
            <w:r w:rsidR="00AE0E8D">
              <w:rPr>
                <w:rFonts w:eastAsia="Times New Roman" w:cstheme="minorHAnsi"/>
                <w:color w:val="2C4551"/>
                <w:lang w:eastAsia="en-GB"/>
              </w:rPr>
              <w:t xml:space="preserve"> and roadmap to COP17</w:t>
            </w:r>
          </w:p>
          <w:p w14:paraId="02770EB8" w14:textId="67546590" w:rsidR="00E431C4" w:rsidRPr="00D67AB3" w:rsidRDefault="00E431C4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</w:tc>
        <w:tc>
          <w:tcPr>
            <w:tcW w:w="2602" w:type="dxa"/>
            <w:vAlign w:val="center"/>
            <w:hideMark/>
          </w:tcPr>
          <w:p w14:paraId="2C7C5E1F" w14:textId="228F1CE6" w:rsidR="00E431C4" w:rsidRPr="00D67AB3" w:rsidRDefault="00E431C4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UNCCD rep and/or</w:t>
            </w:r>
            <w:r w:rsidR="00F846BB">
              <w:rPr>
                <w:rFonts w:eastAsia="Times New Roman" w:cstheme="minorHAnsi"/>
                <w:color w:val="2C4551"/>
                <w:lang w:eastAsia="en-GB"/>
              </w:rPr>
              <w:t xml:space="preserve"> Chair of IYRP Global Alliance</w:t>
            </w:r>
          </w:p>
        </w:tc>
      </w:tr>
      <w:tr w:rsidR="00E431C4" w:rsidRPr="00D67AB3" w14:paraId="24F204BF" w14:textId="77777777" w:rsidTr="00F846BB">
        <w:trPr>
          <w:tblCellSpacing w:w="15" w:type="dxa"/>
        </w:trPr>
        <w:tc>
          <w:tcPr>
            <w:tcW w:w="1656" w:type="dxa"/>
            <w:vAlign w:val="center"/>
          </w:tcPr>
          <w:p w14:paraId="0897D426" w14:textId="1B1C3EC9" w:rsidR="00E431C4" w:rsidRPr="00D67AB3" w:rsidRDefault="00E431C4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Keynote:</w:t>
            </w:r>
          </w:p>
        </w:tc>
        <w:tc>
          <w:tcPr>
            <w:tcW w:w="4648" w:type="dxa"/>
            <w:vAlign w:val="center"/>
          </w:tcPr>
          <w:p w14:paraId="43B27C3D" w14:textId="6B35800B" w:rsidR="00E431C4" w:rsidRDefault="00E431C4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Mongolia as host to COP17 and national perspectives on rangelands and pastoralism</w:t>
            </w:r>
          </w:p>
        </w:tc>
        <w:tc>
          <w:tcPr>
            <w:tcW w:w="2602" w:type="dxa"/>
            <w:vAlign w:val="center"/>
          </w:tcPr>
          <w:p w14:paraId="3155001C" w14:textId="5A096406" w:rsidR="00E431C4" w:rsidRPr="00D67AB3" w:rsidRDefault="00E431C4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>
              <w:rPr>
                <w:rFonts w:eastAsia="Times New Roman" w:cstheme="minorHAnsi"/>
                <w:color w:val="2C4551"/>
                <w:lang w:eastAsia="en-GB"/>
              </w:rPr>
              <w:t>Mongolian Ambassador</w:t>
            </w:r>
          </w:p>
        </w:tc>
      </w:tr>
      <w:tr w:rsidR="00785951" w:rsidRPr="00D67AB3" w14:paraId="302018ED" w14:textId="77777777" w:rsidTr="00F846BB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56997A2" w14:textId="47553E2C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 xml:space="preserve">Presentation: RSC </w:t>
            </w:r>
          </w:p>
        </w:tc>
        <w:tc>
          <w:tcPr>
            <w:tcW w:w="4648" w:type="dxa"/>
            <w:vAlign w:val="center"/>
            <w:hideMark/>
          </w:tcPr>
          <w:p w14:paraId="5A3DF618" w14:textId="77777777" w:rsidR="00E431C4" w:rsidRDefault="00E431C4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  <w:p w14:paraId="1EEB165E" w14:textId="63A208F1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>Shared priorities for collaboration</w:t>
            </w:r>
            <w:r w:rsidR="00785951">
              <w:rPr>
                <w:rFonts w:eastAsia="Times New Roman" w:cstheme="minorHAnsi"/>
                <w:color w:val="2C4551"/>
                <w:lang w:eastAsia="en-GB"/>
              </w:rPr>
              <w:t>, introduction of Rangelan</w:t>
            </w:r>
            <w:r w:rsidR="00B50902">
              <w:rPr>
                <w:rFonts w:eastAsia="Times New Roman" w:cstheme="minorHAnsi"/>
                <w:color w:val="2C4551"/>
                <w:lang w:eastAsia="en-GB"/>
              </w:rPr>
              <w:t xml:space="preserve">d </w:t>
            </w:r>
            <w:r w:rsidR="00785951">
              <w:rPr>
                <w:rFonts w:eastAsia="Times New Roman" w:cstheme="minorHAnsi"/>
                <w:color w:val="2C4551"/>
                <w:lang w:eastAsia="en-GB"/>
              </w:rPr>
              <w:t>White Paper and Global Rangeland Fund</w:t>
            </w:r>
          </w:p>
        </w:tc>
        <w:tc>
          <w:tcPr>
            <w:tcW w:w="2602" w:type="dxa"/>
            <w:vAlign w:val="center"/>
            <w:hideMark/>
          </w:tcPr>
          <w:p w14:paraId="3BC5D8EF" w14:textId="77777777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>RSC Leadership</w:t>
            </w:r>
          </w:p>
        </w:tc>
      </w:tr>
      <w:tr w:rsidR="00785951" w:rsidRPr="00D67AB3" w14:paraId="1515A385" w14:textId="77777777" w:rsidTr="00F846BB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A68F63E" w14:textId="716FD4B6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</w:tc>
        <w:tc>
          <w:tcPr>
            <w:tcW w:w="4648" w:type="dxa"/>
            <w:vAlign w:val="center"/>
            <w:hideMark/>
          </w:tcPr>
          <w:p w14:paraId="07BB8091" w14:textId="6A404107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</w:tc>
        <w:tc>
          <w:tcPr>
            <w:tcW w:w="2602" w:type="dxa"/>
            <w:vAlign w:val="center"/>
            <w:hideMark/>
          </w:tcPr>
          <w:p w14:paraId="3F3FFE90" w14:textId="3E0B8D93" w:rsidR="00155D58" w:rsidRPr="00127B59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</w:tc>
      </w:tr>
      <w:tr w:rsidR="00785951" w:rsidRPr="00D67AB3" w14:paraId="0948C429" w14:textId="77777777" w:rsidTr="00F846BB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F530921" w14:textId="77777777" w:rsidR="00E431C4" w:rsidRDefault="00E431C4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</w:p>
          <w:p w14:paraId="117B253E" w14:textId="76E0F63A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>Networking reception</w:t>
            </w:r>
          </w:p>
        </w:tc>
        <w:tc>
          <w:tcPr>
            <w:tcW w:w="4648" w:type="dxa"/>
            <w:vAlign w:val="center"/>
            <w:hideMark/>
          </w:tcPr>
          <w:p w14:paraId="3C50718C" w14:textId="77777777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>Direct stakeholder engagement</w:t>
            </w:r>
          </w:p>
        </w:tc>
        <w:tc>
          <w:tcPr>
            <w:tcW w:w="2602" w:type="dxa"/>
            <w:vAlign w:val="center"/>
            <w:hideMark/>
          </w:tcPr>
          <w:p w14:paraId="7520E046" w14:textId="77777777" w:rsidR="00155D58" w:rsidRPr="00D67AB3" w:rsidRDefault="00155D58" w:rsidP="00D67AB3">
            <w:pPr>
              <w:rPr>
                <w:rFonts w:eastAsia="Times New Roman" w:cstheme="minorHAnsi"/>
                <w:color w:val="2C4551"/>
                <w:lang w:eastAsia="en-GB"/>
              </w:rPr>
            </w:pPr>
            <w:r w:rsidRPr="00D67AB3">
              <w:rPr>
                <w:rFonts w:eastAsia="Times New Roman" w:cstheme="minorHAnsi"/>
                <w:color w:val="2C4551"/>
                <w:lang w:eastAsia="en-GB"/>
              </w:rPr>
              <w:t>All participants</w:t>
            </w:r>
          </w:p>
        </w:tc>
      </w:tr>
    </w:tbl>
    <w:p w14:paraId="479A0D92" w14:textId="77777777" w:rsidR="00155D58" w:rsidRPr="00D67AB3" w:rsidRDefault="00BC6978" w:rsidP="00D67AB3">
      <w:p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noProof/>
          <w:color w:val="2C4551"/>
          <w:lang w:eastAsia="en-GB"/>
        </w:rPr>
        <w:pict w14:anchorId="783B56F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CCB6956" w14:textId="77777777" w:rsidR="00D67AB3" w:rsidRP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p w14:paraId="32797AC8" w14:textId="77777777" w:rsidR="00C97672" w:rsidRDefault="00C97672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p w14:paraId="292DA641" w14:textId="77777777" w:rsidR="00C97672" w:rsidRDefault="00C97672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p w14:paraId="2B11D3A1" w14:textId="77777777" w:rsidR="00C97672" w:rsidRDefault="00C97672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p w14:paraId="3DA6FC7D" w14:textId="77777777" w:rsidR="006E21B0" w:rsidRDefault="006E21B0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</w:p>
    <w:p w14:paraId="7C07681C" w14:textId="3AD2A23E" w:rsidR="00155D58" w:rsidRDefault="00155D58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>Expected Outcomes</w:t>
      </w:r>
    </w:p>
    <w:p w14:paraId="3322DC01" w14:textId="77777777" w:rsidR="00CF7AB2" w:rsidRPr="00CF7AB2" w:rsidRDefault="00CF7AB2" w:rsidP="00D67AB3">
      <w:pPr>
        <w:outlineLvl w:val="2"/>
        <w:rPr>
          <w:rFonts w:eastAsia="Times New Roman" w:cstheme="minorHAnsi"/>
          <w:b/>
          <w:bCs/>
          <w:color w:val="2C4551"/>
          <w:sz w:val="10"/>
          <w:szCs w:val="10"/>
          <w:lang w:eastAsia="en-GB"/>
        </w:rPr>
      </w:pPr>
    </w:p>
    <w:p w14:paraId="433204B7" w14:textId="77777777" w:rsidR="00155D58" w:rsidRPr="00D67AB3" w:rsidRDefault="00155D58" w:rsidP="00D67AB3">
      <w:pPr>
        <w:numPr>
          <w:ilvl w:val="0"/>
          <w:numId w:val="4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Enhanced recognition among Parliaments and multilateral actors of rangelands as climate-critical territories.</w:t>
      </w:r>
    </w:p>
    <w:p w14:paraId="70EBB4C6" w14:textId="77777777" w:rsidR="00155D58" w:rsidRPr="00D67AB3" w:rsidRDefault="00155D58" w:rsidP="00D67AB3">
      <w:pPr>
        <w:numPr>
          <w:ilvl w:val="0"/>
          <w:numId w:val="4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Commitment of diplomatic and institutional delegates to participation at COP 17 rangelands programming.</w:t>
      </w:r>
    </w:p>
    <w:p w14:paraId="1D82F709" w14:textId="6924097F" w:rsidR="00155D58" w:rsidRPr="00D67AB3" w:rsidRDefault="00155D58" w:rsidP="00D67AB3">
      <w:pPr>
        <w:numPr>
          <w:ilvl w:val="0"/>
          <w:numId w:val="4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 xml:space="preserve">Initial expressions of support and partnership toward the </w:t>
      </w:r>
      <w:r w:rsidR="008F38B4">
        <w:rPr>
          <w:rFonts w:eastAsia="Times New Roman" w:cstheme="minorHAnsi"/>
          <w:color w:val="2C4551"/>
          <w:lang w:eastAsia="en-GB"/>
        </w:rPr>
        <w:t xml:space="preserve">Global </w:t>
      </w:r>
      <w:r w:rsidRPr="00D67AB3">
        <w:rPr>
          <w:rFonts w:eastAsia="Times New Roman" w:cstheme="minorHAnsi"/>
          <w:color w:val="2C4551"/>
          <w:lang w:eastAsia="en-GB"/>
        </w:rPr>
        <w:t>Rangeland Fund.</w:t>
      </w:r>
    </w:p>
    <w:p w14:paraId="444BC559" w14:textId="4CDD5B77" w:rsidR="00155D58" w:rsidRPr="00D67AB3" w:rsidRDefault="00710ED9" w:rsidP="00D67AB3">
      <w:pPr>
        <w:numPr>
          <w:ilvl w:val="0"/>
          <w:numId w:val="4"/>
        </w:num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color w:val="2C4551"/>
          <w:lang w:eastAsia="en-GB"/>
        </w:rPr>
        <w:t>Interest and up</w:t>
      </w:r>
      <w:r w:rsidR="00155D58" w:rsidRPr="00D67AB3">
        <w:rPr>
          <w:rFonts w:eastAsia="Times New Roman" w:cstheme="minorHAnsi"/>
          <w:color w:val="2C4551"/>
          <w:lang w:eastAsia="en-GB"/>
        </w:rPr>
        <w:t>take of the Rangeland White Paper as the shared reference for action.</w:t>
      </w:r>
    </w:p>
    <w:p w14:paraId="29DEC033" w14:textId="77777777" w:rsidR="00155D58" w:rsidRPr="00D67AB3" w:rsidRDefault="00BC6978" w:rsidP="00D67AB3">
      <w:p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noProof/>
          <w:color w:val="2C4551"/>
          <w:lang w:eastAsia="en-GB"/>
        </w:rPr>
        <w:pict w14:anchorId="17834F6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F04978" w14:textId="77777777" w:rsidR="00D67AB3" w:rsidRDefault="00D67AB3" w:rsidP="00D67AB3">
      <w:pPr>
        <w:outlineLvl w:val="2"/>
        <w:rPr>
          <w:rFonts w:eastAsia="Times New Roman" w:cstheme="minorHAnsi"/>
          <w:b/>
          <w:bCs/>
          <w:color w:val="2C4551"/>
          <w:sz w:val="27"/>
          <w:szCs w:val="27"/>
          <w:lang w:eastAsia="en-GB"/>
        </w:rPr>
      </w:pPr>
    </w:p>
    <w:p w14:paraId="61802856" w14:textId="5B5EF15F" w:rsidR="00155D58" w:rsidRDefault="00155D58" w:rsidP="00D67AB3">
      <w:pPr>
        <w:outlineLvl w:val="2"/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</w:pPr>
      <w:r w:rsidRPr="00D67AB3">
        <w:rPr>
          <w:rFonts w:eastAsia="Times New Roman" w:cstheme="minorHAnsi"/>
          <w:b/>
          <w:bCs/>
          <w:color w:val="2C4551"/>
          <w:sz w:val="28"/>
          <w:szCs w:val="28"/>
          <w:lang w:eastAsia="en-GB"/>
        </w:rPr>
        <w:t>Communications &amp; Visibility</w:t>
      </w:r>
    </w:p>
    <w:p w14:paraId="645EAFA3" w14:textId="77777777" w:rsidR="00CF7AB2" w:rsidRPr="00CF7AB2" w:rsidRDefault="00CF7AB2" w:rsidP="00D67AB3">
      <w:pPr>
        <w:outlineLvl w:val="2"/>
        <w:rPr>
          <w:rFonts w:eastAsia="Times New Roman" w:cstheme="minorHAnsi"/>
          <w:b/>
          <w:bCs/>
          <w:color w:val="2C4551"/>
          <w:sz w:val="10"/>
          <w:szCs w:val="10"/>
          <w:lang w:eastAsia="en-GB"/>
        </w:rPr>
      </w:pPr>
    </w:p>
    <w:p w14:paraId="0C9853D8" w14:textId="77777777" w:rsidR="00155D58" w:rsidRPr="00D67AB3" w:rsidRDefault="00155D58" w:rsidP="00D67AB3">
      <w:pPr>
        <w:numPr>
          <w:ilvl w:val="0"/>
          <w:numId w:val="5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Co-branded messaging with UNCCD</w:t>
      </w:r>
    </w:p>
    <w:p w14:paraId="4AD54ED3" w14:textId="7B995083" w:rsidR="00155D58" w:rsidRPr="00D67AB3" w:rsidRDefault="00155D58" w:rsidP="00D67AB3">
      <w:pPr>
        <w:numPr>
          <w:ilvl w:val="0"/>
          <w:numId w:val="5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Media and advocacy materials aligned with Roadmap to COP 17</w:t>
      </w:r>
      <w:r w:rsidR="000F2FC9">
        <w:rPr>
          <w:rFonts w:eastAsia="Times New Roman" w:cstheme="minorHAnsi"/>
          <w:color w:val="2C4551"/>
          <w:lang w:eastAsia="en-GB"/>
        </w:rPr>
        <w:t xml:space="preserve"> and IYRP</w:t>
      </w:r>
    </w:p>
    <w:p w14:paraId="743DC7D2" w14:textId="77777777" w:rsidR="00155D58" w:rsidRPr="00D67AB3" w:rsidRDefault="00155D58" w:rsidP="00D67AB3">
      <w:pPr>
        <w:numPr>
          <w:ilvl w:val="0"/>
          <w:numId w:val="5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Opportunity for brand and government partners to share statements of support</w:t>
      </w:r>
    </w:p>
    <w:p w14:paraId="0127B4F6" w14:textId="77777777" w:rsidR="00155D58" w:rsidRPr="00D67AB3" w:rsidRDefault="00155D58" w:rsidP="00D67AB3">
      <w:pPr>
        <w:numPr>
          <w:ilvl w:val="0"/>
          <w:numId w:val="5"/>
        </w:numPr>
        <w:rPr>
          <w:rFonts w:eastAsia="Times New Roman" w:cstheme="minorHAnsi"/>
          <w:color w:val="2C4551"/>
          <w:lang w:eastAsia="en-GB"/>
        </w:rPr>
      </w:pPr>
      <w:r w:rsidRPr="00D67AB3">
        <w:rPr>
          <w:rFonts w:eastAsia="Times New Roman" w:cstheme="minorHAnsi"/>
          <w:color w:val="2C4551"/>
          <w:lang w:eastAsia="en-GB"/>
        </w:rPr>
        <w:t>Potential for exhibition-style visuals featuring rangeland landscapes and communities</w:t>
      </w:r>
    </w:p>
    <w:p w14:paraId="6B55E39B" w14:textId="77777777" w:rsidR="00155D58" w:rsidRPr="00D67AB3" w:rsidRDefault="00BC6978" w:rsidP="00D67AB3">
      <w:pPr>
        <w:rPr>
          <w:rFonts w:eastAsia="Times New Roman" w:cstheme="minorHAnsi"/>
          <w:color w:val="2C4551"/>
          <w:lang w:eastAsia="en-GB"/>
        </w:rPr>
      </w:pPr>
      <w:r>
        <w:rPr>
          <w:rFonts w:eastAsia="Times New Roman" w:cstheme="minorHAnsi"/>
          <w:noProof/>
          <w:color w:val="2C4551"/>
          <w:lang w:eastAsia="en-GB"/>
        </w:rPr>
        <w:pict w14:anchorId="2389824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837A79B" w14:textId="16EC60F6" w:rsidR="00155D58" w:rsidRDefault="00155D58" w:rsidP="00D67AB3">
      <w:pPr>
        <w:rPr>
          <w:rFonts w:cstheme="minorHAnsi"/>
          <w:color w:val="2C4551"/>
        </w:rPr>
      </w:pPr>
    </w:p>
    <w:p w14:paraId="4F15509D" w14:textId="77777777" w:rsidR="00C33291" w:rsidRPr="00C33291" w:rsidRDefault="00C33291" w:rsidP="00C33291">
      <w:pPr>
        <w:rPr>
          <w:rFonts w:cstheme="minorHAnsi"/>
          <w:color w:val="2C4551"/>
          <w:sz w:val="28"/>
          <w:szCs w:val="28"/>
        </w:rPr>
      </w:pPr>
      <w:r w:rsidRPr="00C33291">
        <w:rPr>
          <w:rFonts w:cstheme="minorHAnsi"/>
          <w:b/>
          <w:bCs/>
          <w:color w:val="2C4551"/>
          <w:sz w:val="28"/>
          <w:szCs w:val="28"/>
        </w:rPr>
        <w:t>Next Steps</w:t>
      </w:r>
    </w:p>
    <w:p w14:paraId="7FC26E8C" w14:textId="07E66422" w:rsidR="00C33291" w:rsidRPr="00C33291" w:rsidRDefault="00C33291" w:rsidP="00C33291">
      <w:pPr>
        <w:numPr>
          <w:ilvl w:val="0"/>
          <w:numId w:val="7"/>
        </w:numPr>
        <w:rPr>
          <w:rFonts w:cstheme="minorHAnsi"/>
          <w:color w:val="2C4551"/>
        </w:rPr>
      </w:pPr>
      <w:r w:rsidRPr="00C33291">
        <w:rPr>
          <w:rFonts w:cstheme="minorHAnsi"/>
          <w:color w:val="2C4551"/>
        </w:rPr>
        <w:t>Issue high-level invitations through diplomatic channels. Invitations should clearly state security requirements (printed invitation and photo ID or bank card required; security screening applies) and specify the designated entrance and exit points.</w:t>
      </w:r>
    </w:p>
    <w:p w14:paraId="6117F70E" w14:textId="77777777" w:rsidR="00C33291" w:rsidRPr="00C33291" w:rsidRDefault="00C33291" w:rsidP="00C33291">
      <w:pPr>
        <w:numPr>
          <w:ilvl w:val="0"/>
          <w:numId w:val="7"/>
        </w:numPr>
        <w:rPr>
          <w:rFonts w:cstheme="minorHAnsi"/>
          <w:color w:val="2C4551"/>
        </w:rPr>
      </w:pPr>
      <w:r w:rsidRPr="00C33291">
        <w:rPr>
          <w:rFonts w:cstheme="minorHAnsi"/>
          <w:color w:val="2C4551"/>
        </w:rPr>
        <w:t>Finalise spokespersons and confirm key announcements.</w:t>
      </w:r>
    </w:p>
    <w:p w14:paraId="6F6DBA36" w14:textId="3CC90F4E" w:rsidR="00C33291" w:rsidRPr="00C33291" w:rsidRDefault="00C33291" w:rsidP="00C33291">
      <w:pPr>
        <w:numPr>
          <w:ilvl w:val="0"/>
          <w:numId w:val="7"/>
        </w:numPr>
        <w:rPr>
          <w:rFonts w:cstheme="minorHAnsi"/>
          <w:color w:val="2C4551"/>
        </w:rPr>
      </w:pPr>
      <w:r w:rsidRPr="00C33291">
        <w:rPr>
          <w:rFonts w:cstheme="minorHAnsi"/>
          <w:color w:val="2C4551"/>
        </w:rPr>
        <w:t>Align key messages with UNCCD communications.</w:t>
      </w:r>
    </w:p>
    <w:p w14:paraId="05507365" w14:textId="361331B8" w:rsidR="00963C26" w:rsidRPr="00012AEC" w:rsidRDefault="00C33291" w:rsidP="00D67AB3">
      <w:pPr>
        <w:numPr>
          <w:ilvl w:val="0"/>
          <w:numId w:val="7"/>
        </w:numPr>
        <w:rPr>
          <w:rFonts w:cstheme="minorHAnsi"/>
          <w:color w:val="2C4551"/>
        </w:rPr>
      </w:pPr>
      <w:r w:rsidRPr="00C33291">
        <w:rPr>
          <w:rFonts w:cstheme="minorHAnsi"/>
          <w:color w:val="2C4551"/>
        </w:rPr>
        <w:t xml:space="preserve">Advance event planning, including catering, security arrangements, event materials, provision of beverages, filming and photography, music, guest list management, invitation templates, and </w:t>
      </w:r>
      <w:r w:rsidR="00CB4213" w:rsidRPr="00C33291">
        <w:rPr>
          <w:rFonts w:cstheme="minorHAnsi"/>
          <w:color w:val="2C4551"/>
        </w:rPr>
        <w:t>audio-visual</w:t>
      </w:r>
      <w:r w:rsidRPr="00C33291">
        <w:rPr>
          <w:rFonts w:cstheme="minorHAnsi"/>
          <w:color w:val="2C4551"/>
        </w:rPr>
        <w:t xml:space="preserve"> requirements.</w:t>
      </w:r>
    </w:p>
    <w:p w14:paraId="738851C9" w14:textId="727E735A" w:rsidR="00012AEC" w:rsidRPr="00012AEC" w:rsidRDefault="00012AEC" w:rsidP="003E4420">
      <w:pPr>
        <w:ind w:left="720"/>
        <w:rPr>
          <w:rFonts w:cstheme="minorHAnsi"/>
          <w:color w:val="2C4551"/>
        </w:rPr>
      </w:pPr>
    </w:p>
    <w:sectPr w:rsidR="00012AEC" w:rsidRPr="00012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61A7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B0FE7"/>
    <w:multiLevelType w:val="multilevel"/>
    <w:tmpl w:val="92D0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30EFE"/>
    <w:multiLevelType w:val="multilevel"/>
    <w:tmpl w:val="9DB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2184B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F56FB"/>
    <w:multiLevelType w:val="multilevel"/>
    <w:tmpl w:val="6A1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E1030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25F7C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444FF"/>
    <w:multiLevelType w:val="multilevel"/>
    <w:tmpl w:val="6EF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C213C"/>
    <w:multiLevelType w:val="multilevel"/>
    <w:tmpl w:val="448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A04E1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B4AA6"/>
    <w:multiLevelType w:val="multilevel"/>
    <w:tmpl w:val="F7C6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04622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A33C0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87841"/>
    <w:multiLevelType w:val="multilevel"/>
    <w:tmpl w:val="4D0C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D1512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B051E"/>
    <w:multiLevelType w:val="multilevel"/>
    <w:tmpl w:val="E492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F54AE9"/>
    <w:multiLevelType w:val="multilevel"/>
    <w:tmpl w:val="454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128217">
    <w:abstractNumId w:val="8"/>
  </w:num>
  <w:num w:numId="2" w16cid:durableId="1447772047">
    <w:abstractNumId w:val="15"/>
  </w:num>
  <w:num w:numId="3" w16cid:durableId="116028779">
    <w:abstractNumId w:val="1"/>
  </w:num>
  <w:num w:numId="4" w16cid:durableId="1841578453">
    <w:abstractNumId w:val="2"/>
  </w:num>
  <w:num w:numId="5" w16cid:durableId="936451773">
    <w:abstractNumId w:val="10"/>
  </w:num>
  <w:num w:numId="6" w16cid:durableId="16006623">
    <w:abstractNumId w:val="13"/>
  </w:num>
  <w:num w:numId="7" w16cid:durableId="936332407">
    <w:abstractNumId w:val="5"/>
  </w:num>
  <w:num w:numId="8" w16cid:durableId="1610625048">
    <w:abstractNumId w:val="0"/>
  </w:num>
  <w:num w:numId="9" w16cid:durableId="1059088885">
    <w:abstractNumId w:val="12"/>
  </w:num>
  <w:num w:numId="10" w16cid:durableId="744573449">
    <w:abstractNumId w:val="16"/>
  </w:num>
  <w:num w:numId="11" w16cid:durableId="135731296">
    <w:abstractNumId w:val="11"/>
  </w:num>
  <w:num w:numId="12" w16cid:durableId="1553535461">
    <w:abstractNumId w:val="9"/>
  </w:num>
  <w:num w:numId="13" w16cid:durableId="788818951">
    <w:abstractNumId w:val="6"/>
  </w:num>
  <w:num w:numId="14" w16cid:durableId="583077828">
    <w:abstractNumId w:val="14"/>
  </w:num>
  <w:num w:numId="15" w16cid:durableId="396559640">
    <w:abstractNumId w:val="3"/>
  </w:num>
  <w:num w:numId="16" w16cid:durableId="1186872065">
    <w:abstractNumId w:val="4"/>
  </w:num>
  <w:num w:numId="17" w16cid:durableId="1787456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58"/>
    <w:rsid w:val="00012AEC"/>
    <w:rsid w:val="0007623D"/>
    <w:rsid w:val="00092433"/>
    <w:rsid w:val="000B5C01"/>
    <w:rsid w:val="000F2FC9"/>
    <w:rsid w:val="001135B0"/>
    <w:rsid w:val="00116812"/>
    <w:rsid w:val="00127B59"/>
    <w:rsid w:val="00155D58"/>
    <w:rsid w:val="002C2D0F"/>
    <w:rsid w:val="00322895"/>
    <w:rsid w:val="003350AA"/>
    <w:rsid w:val="00360EF3"/>
    <w:rsid w:val="003E4420"/>
    <w:rsid w:val="004A2ED8"/>
    <w:rsid w:val="005347F7"/>
    <w:rsid w:val="005F7E2F"/>
    <w:rsid w:val="00620FB5"/>
    <w:rsid w:val="006424ED"/>
    <w:rsid w:val="006E18C8"/>
    <w:rsid w:val="006E21B0"/>
    <w:rsid w:val="00710ED9"/>
    <w:rsid w:val="00785951"/>
    <w:rsid w:val="00855167"/>
    <w:rsid w:val="00857442"/>
    <w:rsid w:val="008F38B4"/>
    <w:rsid w:val="00960939"/>
    <w:rsid w:val="00963C26"/>
    <w:rsid w:val="0098341B"/>
    <w:rsid w:val="00993B37"/>
    <w:rsid w:val="009A0868"/>
    <w:rsid w:val="009A1926"/>
    <w:rsid w:val="00AB2E9C"/>
    <w:rsid w:val="00AC2B5C"/>
    <w:rsid w:val="00AE0E8D"/>
    <w:rsid w:val="00B50902"/>
    <w:rsid w:val="00B840E6"/>
    <w:rsid w:val="00BC6978"/>
    <w:rsid w:val="00C279A8"/>
    <w:rsid w:val="00C33291"/>
    <w:rsid w:val="00C55A92"/>
    <w:rsid w:val="00C572A9"/>
    <w:rsid w:val="00C97672"/>
    <w:rsid w:val="00CB4213"/>
    <w:rsid w:val="00CF7AB2"/>
    <w:rsid w:val="00D67AB3"/>
    <w:rsid w:val="00E02ECE"/>
    <w:rsid w:val="00E32BD4"/>
    <w:rsid w:val="00E431C4"/>
    <w:rsid w:val="00EE10A0"/>
    <w:rsid w:val="00F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5568"/>
  <w15:chartTrackingRefBased/>
  <w15:docId w15:val="{7C8C40AF-CB9A-D74C-A3E3-EE11C16C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91"/>
  </w:style>
  <w:style w:type="paragraph" w:styleId="Heading2">
    <w:name w:val="heading 2"/>
    <w:basedOn w:val="Normal"/>
    <w:link w:val="Heading2Char"/>
    <w:uiPriority w:val="9"/>
    <w:qFormat/>
    <w:rsid w:val="00155D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55D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5D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55D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155D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5D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67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akbhak@gmail.com</dc:creator>
  <cp:keywords/>
  <dc:description/>
  <cp:lastModifiedBy>akbhak@gmail.com</cp:lastModifiedBy>
  <cp:revision>2</cp:revision>
  <dcterms:created xsi:type="dcterms:W3CDTF">2025-12-22T19:57:00Z</dcterms:created>
  <dcterms:modified xsi:type="dcterms:W3CDTF">2025-12-22T19:57:00Z</dcterms:modified>
</cp:coreProperties>
</file>